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9F0E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jc w:val="center"/>
        <w:textAlignment w:val="auto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《多媒体数字投影球系统》编制说明</w:t>
      </w:r>
    </w:p>
    <w:p w14:paraId="0A11FEF7">
      <w:pPr>
        <w:spacing w:line="360" w:lineRule="exact"/>
        <w:jc w:val="center"/>
        <w:rPr>
          <w:rFonts w:hint="eastAsia" w:ascii="黑体" w:eastAsia="黑体"/>
          <w:color w:val="000000"/>
          <w:sz w:val="30"/>
          <w:szCs w:val="30"/>
        </w:rPr>
      </w:pPr>
      <w:r>
        <w:rPr>
          <w:rFonts w:hint="eastAsia" w:ascii="黑体" w:eastAsia="黑体"/>
          <w:color w:val="000000"/>
          <w:sz w:val="30"/>
          <w:szCs w:val="30"/>
        </w:rPr>
        <w:t>(</w:t>
      </w:r>
      <w:r>
        <w:rPr>
          <w:rFonts w:hint="eastAsia" w:ascii="黑体" w:eastAsia="黑体"/>
          <w:color w:val="000000"/>
          <w:sz w:val="30"/>
          <w:szCs w:val="30"/>
          <w:lang w:val="en-US" w:eastAsia="zh-CN"/>
        </w:rPr>
        <w:t>征求意见</w:t>
      </w:r>
      <w:r>
        <w:rPr>
          <w:rFonts w:hint="eastAsia" w:ascii="黑体" w:eastAsia="黑体"/>
          <w:color w:val="000000"/>
          <w:sz w:val="30"/>
          <w:szCs w:val="30"/>
        </w:rPr>
        <w:t>稿)</w:t>
      </w:r>
    </w:p>
    <w:p w14:paraId="4CE6BD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黑体" w:hAnsi="黑体" w:eastAsia="黑体"/>
        </w:rPr>
      </w:pPr>
    </w:p>
    <w:p w14:paraId="5AA7CB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一、工作简况</w:t>
      </w:r>
    </w:p>
    <w:p w14:paraId="7249F0F9">
      <w:pPr>
        <w:keepNext w:val="0"/>
        <w:keepLines w:val="0"/>
        <w:pageBreakBefore w:val="0"/>
        <w:widowControl w:val="0"/>
        <w:tabs>
          <w:tab w:val="left" w:pos="1446"/>
        </w:tabs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1  任务来源</w:t>
      </w:r>
    </w:p>
    <w:p w14:paraId="38F9ED88">
      <w:pPr>
        <w:keepNext w:val="0"/>
        <w:keepLines w:val="0"/>
        <w:pageBreakBefore w:val="0"/>
        <w:widowControl w:val="0"/>
        <w:tabs>
          <w:tab w:val="left" w:pos="1446"/>
        </w:tabs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20" w:firstLineChars="200"/>
        <w:textAlignment w:val="auto"/>
        <w:rPr>
          <w:rFonts w:hint="eastAsia" w:ascii="宋体" w:hAnsi="宋体" w:eastAsia="宋体" w:cs="Times New Roman"/>
          <w:color w:val="auto"/>
        </w:rPr>
      </w:pPr>
      <w:r>
        <w:rPr>
          <w:rFonts w:hint="eastAsia" w:ascii="宋体" w:hAnsi="宋体"/>
          <w:color w:val="auto"/>
        </w:rPr>
        <w:t>本项目是根据工业和信息化部行业标准制修订计划(工信厅科</w:t>
      </w:r>
      <w:r>
        <w:rPr>
          <w:rFonts w:hint="eastAsia" w:ascii="宋体" w:hAnsi="宋体" w:eastAsia="宋体" w:cs="Times New Roman"/>
          <w:color w:val="auto"/>
        </w:rPr>
        <w:t>函[20</w:t>
      </w:r>
      <w:r>
        <w:rPr>
          <w:rFonts w:hint="eastAsia" w:ascii="宋体" w:hAnsi="宋体" w:eastAsia="宋体" w:cs="Times New Roman"/>
          <w:color w:val="auto"/>
          <w:lang w:val="en-US" w:eastAsia="zh-CN"/>
        </w:rPr>
        <w:t>24</w:t>
      </w:r>
      <w:r>
        <w:rPr>
          <w:rFonts w:hint="eastAsia" w:ascii="宋体" w:hAnsi="宋体" w:eastAsia="宋体" w:cs="Times New Roman"/>
          <w:color w:val="auto"/>
        </w:rPr>
        <w:t>]</w:t>
      </w:r>
      <w:r>
        <w:rPr>
          <w:rFonts w:hint="eastAsia" w:ascii="宋体" w:hAnsi="宋体" w:eastAsia="宋体" w:cs="Times New Roman"/>
          <w:color w:val="auto"/>
          <w:lang w:val="en-US" w:eastAsia="zh-CN"/>
        </w:rPr>
        <w:t>463</w:t>
      </w:r>
      <w:r>
        <w:rPr>
          <w:rFonts w:hint="eastAsia" w:ascii="宋体" w:hAnsi="宋体" w:eastAsia="宋体" w:cs="Times New Roman"/>
          <w:color w:val="auto"/>
        </w:rPr>
        <w:t>号)，计划编号202</w:t>
      </w:r>
      <w:r>
        <w:rPr>
          <w:rFonts w:hint="eastAsia" w:ascii="宋体" w:hAnsi="宋体" w:eastAsia="宋体" w:cs="Times New Roman"/>
          <w:color w:val="auto"/>
          <w:lang w:val="en-US" w:eastAsia="zh-CN"/>
        </w:rPr>
        <w:t>4</w:t>
      </w:r>
      <w:r>
        <w:rPr>
          <w:rFonts w:hint="eastAsia" w:ascii="宋体" w:hAnsi="宋体" w:eastAsia="宋体" w:cs="Times New Roman"/>
          <w:color w:val="auto"/>
        </w:rPr>
        <w:t>-</w:t>
      </w:r>
      <w:r>
        <w:rPr>
          <w:rFonts w:hint="eastAsia" w:ascii="宋体" w:hAnsi="宋体" w:eastAsia="宋体" w:cs="Times New Roman"/>
          <w:color w:val="auto"/>
          <w:lang w:val="en-US" w:eastAsia="zh-CN"/>
        </w:rPr>
        <w:t>1733</w:t>
      </w:r>
      <w:r>
        <w:rPr>
          <w:rFonts w:hint="eastAsia" w:ascii="宋体" w:hAnsi="宋体" w:eastAsia="宋体" w:cs="Times New Roman"/>
          <w:color w:val="auto"/>
        </w:rPr>
        <w:t>T-JB，项目名称“</w:t>
      </w:r>
      <w:r>
        <w:rPr>
          <w:rFonts w:hint="eastAsia" w:ascii="宋体" w:hAnsi="宋体" w:eastAsia="宋体" w:cs="Times New Roman"/>
          <w:color w:val="auto"/>
          <w:lang w:val="en-US" w:eastAsia="zh-CN"/>
        </w:rPr>
        <w:t>多媒体数字投影球系统</w:t>
      </w:r>
      <w:r>
        <w:rPr>
          <w:rFonts w:hint="eastAsia" w:ascii="宋体" w:hAnsi="宋体" w:eastAsia="宋体" w:cs="Times New Roman"/>
          <w:color w:val="auto"/>
        </w:rPr>
        <w:t>”进行修订,主要起草单位：秦皇岛视听机械研究所有限公司</w:t>
      </w:r>
      <w:r>
        <w:rPr>
          <w:rFonts w:hint="eastAsia" w:ascii="宋体" w:hAnsi="宋体" w:cs="Times New Roman"/>
          <w:color w:val="auto"/>
          <w:lang w:eastAsia="zh-CN"/>
        </w:rPr>
        <w:t>、</w:t>
      </w:r>
      <w:r>
        <w:rPr>
          <w:rFonts w:hint="eastAsia" w:ascii="宋体" w:hAnsi="宋体" w:eastAsia="宋体" w:cs="Times New Roman"/>
          <w:color w:val="auto"/>
        </w:rPr>
        <w:t>菲涅尔显示科技</w:t>
      </w:r>
      <w:r>
        <w:rPr>
          <w:rFonts w:hint="eastAsia" w:ascii="宋体" w:hAnsi="宋体" w:cs="Times New Roman"/>
          <w:color w:val="auto"/>
          <w:lang w:eastAsia="zh-CN"/>
        </w:rPr>
        <w:t>(</w:t>
      </w:r>
      <w:r>
        <w:rPr>
          <w:rFonts w:hint="eastAsia" w:ascii="宋体" w:hAnsi="宋体" w:eastAsia="宋体" w:cs="Times New Roman"/>
          <w:color w:val="auto"/>
        </w:rPr>
        <w:t>张家港</w:t>
      </w:r>
      <w:r>
        <w:rPr>
          <w:rFonts w:hint="eastAsia" w:ascii="宋体" w:hAnsi="宋体" w:cs="Times New Roman"/>
          <w:color w:val="auto"/>
          <w:lang w:eastAsia="zh-CN"/>
        </w:rPr>
        <w:t>)</w:t>
      </w:r>
      <w:r>
        <w:rPr>
          <w:rFonts w:hint="eastAsia" w:ascii="宋体" w:hAnsi="宋体" w:eastAsia="宋体" w:cs="Times New Roman"/>
          <w:color w:val="auto"/>
        </w:rPr>
        <w:t>有限公司</w:t>
      </w:r>
      <w:r>
        <w:rPr>
          <w:rFonts w:hint="eastAsia" w:ascii="宋体" w:hAnsi="宋体" w:cs="Times New Roman"/>
          <w:color w:val="auto"/>
          <w:lang w:eastAsia="zh-CN"/>
        </w:rPr>
        <w:t>、</w:t>
      </w:r>
      <w:r>
        <w:rPr>
          <w:rFonts w:hint="eastAsia" w:ascii="宋体" w:hAnsi="宋体" w:eastAsia="宋体" w:cs="Times New Roman"/>
          <w:color w:val="auto"/>
        </w:rPr>
        <w:t>芜湖影星巨幕有限公司</w:t>
      </w:r>
      <w:r>
        <w:rPr>
          <w:rFonts w:hint="eastAsia" w:ascii="宋体" w:hAnsi="宋体" w:cs="Times New Roman"/>
          <w:color w:val="auto"/>
          <w:lang w:eastAsia="zh-CN"/>
        </w:rPr>
        <w:t>、</w:t>
      </w:r>
      <w:r>
        <w:rPr>
          <w:rFonts w:hint="eastAsia" w:ascii="宋体" w:hAnsi="宋体" w:eastAsia="宋体" w:cs="Times New Roman"/>
          <w:color w:val="auto"/>
        </w:rPr>
        <w:t>泉州知悉企业管理咨询有限公司，</w:t>
      </w:r>
      <w:r>
        <w:rPr>
          <w:rFonts w:hint="eastAsia" w:ascii="宋体"/>
          <w:szCs w:val="21"/>
        </w:rPr>
        <w:t>计划应完成时间</w:t>
      </w:r>
      <w:r>
        <w:rPr>
          <w:rFonts w:hint="eastAsia" w:ascii="宋体" w:hAnsi="宋体"/>
          <w:szCs w:val="21"/>
        </w:rPr>
        <w:t>20</w:t>
      </w:r>
      <w:r>
        <w:rPr>
          <w:rFonts w:hint="eastAsia" w:ascii="宋体" w:hAnsi="宋体"/>
          <w:szCs w:val="21"/>
          <w:lang w:val="en-US" w:eastAsia="zh-CN"/>
        </w:rPr>
        <w:t>25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lang w:val="en-US" w:eastAsia="zh-CN"/>
        </w:rPr>
        <w:t>12月</w:t>
      </w:r>
      <w:r>
        <w:rPr>
          <w:rFonts w:hint="eastAsia" w:ascii="宋体" w:hAnsi="宋体"/>
          <w:color w:val="auto"/>
          <w:szCs w:val="21"/>
        </w:rPr>
        <w:t>。</w:t>
      </w:r>
      <w:bookmarkStart w:id="0" w:name="_GoBack"/>
      <w:bookmarkEnd w:id="0"/>
    </w:p>
    <w:p w14:paraId="2E5676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2  主要工作过程</w:t>
      </w:r>
    </w:p>
    <w:p w14:paraId="0E5629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22" w:firstLineChars="200"/>
        <w:textAlignment w:val="auto"/>
        <w:rPr>
          <w:rFonts w:hint="eastAsia" w:ascii="宋体" w:hAnsi="宋体"/>
          <w:color w:val="auto"/>
          <w:spacing w:val="0"/>
          <w:sz w:val="21"/>
        </w:rPr>
      </w:pPr>
      <w:r>
        <w:rPr>
          <w:rFonts w:hint="eastAsia" w:ascii="宋体" w:hAnsi="宋体"/>
          <w:b/>
          <w:bCs w:val="0"/>
          <w:spacing w:val="0"/>
          <w:sz w:val="21"/>
        </w:rPr>
        <w:t>起草(草案、论证)阶段：</w:t>
      </w:r>
      <w:r>
        <w:rPr>
          <w:rFonts w:hint="eastAsia" w:ascii="宋体" w:hAnsi="宋体"/>
          <w:color w:val="auto"/>
          <w:spacing w:val="0"/>
          <w:sz w:val="21"/>
        </w:rPr>
        <w:t>202</w:t>
      </w:r>
      <w:r>
        <w:rPr>
          <w:rFonts w:hint="eastAsia" w:ascii="宋体" w:hAnsi="宋体"/>
          <w:color w:val="auto"/>
          <w:spacing w:val="0"/>
          <w:sz w:val="21"/>
          <w:lang w:val="en-US" w:eastAsia="zh-CN"/>
        </w:rPr>
        <w:t>4.11</w:t>
      </w:r>
      <w:r>
        <w:rPr>
          <w:rFonts w:hint="eastAsia" w:ascii="宋体" w:hAnsi="宋体"/>
          <w:color w:val="auto"/>
          <w:spacing w:val="0"/>
          <w:sz w:val="21"/>
        </w:rPr>
        <w:t>工信部下达计划，202</w:t>
      </w:r>
      <w:r>
        <w:rPr>
          <w:rFonts w:hint="eastAsia" w:ascii="宋体" w:hAnsi="宋体"/>
          <w:color w:val="auto"/>
          <w:spacing w:val="0"/>
          <w:sz w:val="21"/>
          <w:lang w:val="en-US" w:eastAsia="zh-CN"/>
        </w:rPr>
        <w:t>5.1</w:t>
      </w:r>
      <w:r>
        <w:rPr>
          <w:rFonts w:hint="eastAsia" w:ascii="宋体" w:hAnsi="宋体"/>
          <w:color w:val="auto"/>
          <w:spacing w:val="0"/>
          <w:sz w:val="21"/>
        </w:rPr>
        <w:t>牵头单位——秦皇岛视听机械研究所有限公司与相关单位成立了“</w:t>
      </w:r>
      <w:r>
        <w:rPr>
          <w:rFonts w:hint="eastAsia" w:ascii="宋体" w:hAnsi="宋体"/>
          <w:color w:val="auto"/>
          <w:spacing w:val="0"/>
          <w:sz w:val="21"/>
          <w:lang w:val="en-US" w:eastAsia="zh-CN"/>
        </w:rPr>
        <w:t>多媒体数字投影球系统</w:t>
      </w:r>
      <w:r>
        <w:rPr>
          <w:rFonts w:hint="eastAsia" w:ascii="宋体" w:hAnsi="宋体"/>
          <w:color w:val="auto"/>
          <w:spacing w:val="0"/>
          <w:sz w:val="21"/>
        </w:rPr>
        <w:t>”起草工作组，确定工作方案，起草工作组在工作过程中广泛收集、分析国内外相关技术文献和资料，结合</w:t>
      </w:r>
      <w:r>
        <w:rPr>
          <w:rFonts w:hint="eastAsia" w:ascii="宋体" w:hAnsi="宋体"/>
          <w:color w:val="auto"/>
          <w:spacing w:val="0"/>
          <w:sz w:val="21"/>
          <w:lang w:val="en-US" w:eastAsia="zh-CN"/>
        </w:rPr>
        <w:t>多媒体数字投影球系统</w:t>
      </w:r>
      <w:r>
        <w:rPr>
          <w:rFonts w:hint="eastAsia" w:ascii="宋体" w:hAnsi="宋体"/>
          <w:color w:val="auto"/>
          <w:spacing w:val="0"/>
          <w:sz w:val="21"/>
        </w:rPr>
        <w:t>的应用经验，对其进行总结和归纳。</w:t>
      </w:r>
    </w:p>
    <w:p w14:paraId="5B4F7E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20" w:firstLineChars="200"/>
        <w:textAlignment w:val="auto"/>
        <w:rPr>
          <w:rFonts w:ascii="宋体" w:hAnsi="宋体"/>
          <w:color w:val="auto"/>
          <w:spacing w:val="0"/>
          <w:sz w:val="21"/>
        </w:rPr>
      </w:pPr>
      <w:r>
        <w:rPr>
          <w:rFonts w:hint="eastAsia" w:ascii="宋体" w:hAnsi="宋体"/>
          <w:color w:val="auto"/>
          <w:spacing w:val="0"/>
          <w:sz w:val="21"/>
        </w:rPr>
        <w:t>标委会于202</w:t>
      </w:r>
      <w:r>
        <w:rPr>
          <w:rFonts w:hint="eastAsia" w:ascii="宋体" w:hAnsi="宋体"/>
          <w:color w:val="auto"/>
          <w:spacing w:val="0"/>
          <w:sz w:val="21"/>
          <w:lang w:val="en-US" w:eastAsia="zh-CN"/>
        </w:rPr>
        <w:t>5.5.11</w:t>
      </w:r>
      <w:r>
        <w:rPr>
          <w:rFonts w:hint="eastAsia" w:ascii="宋体" w:hAnsi="宋体"/>
          <w:color w:val="auto"/>
          <w:spacing w:val="0"/>
          <w:sz w:val="21"/>
        </w:rPr>
        <w:t>在</w:t>
      </w:r>
      <w:r>
        <w:rPr>
          <w:rFonts w:hint="eastAsia" w:ascii="宋体" w:hAnsi="宋体"/>
          <w:color w:val="auto"/>
          <w:spacing w:val="0"/>
          <w:sz w:val="21"/>
          <w:lang w:val="en-US" w:eastAsia="zh-CN"/>
        </w:rPr>
        <w:t>福建南平</w:t>
      </w:r>
      <w:r>
        <w:rPr>
          <w:rFonts w:hint="eastAsia" w:ascii="宋体" w:hAnsi="宋体"/>
          <w:color w:val="auto"/>
          <w:spacing w:val="0"/>
          <w:sz w:val="21"/>
        </w:rPr>
        <w:t>组织召开了该项标准的工作组会议暨研讨会，与会专家对标准草案稿进行了讨论，会后起草工作组对草案稿进行了修改、整理和完善后，于</w:t>
      </w:r>
      <w:r>
        <w:rPr>
          <w:rFonts w:hint="eastAsia" w:ascii="宋体" w:hAnsi="宋体"/>
          <w:color w:val="auto"/>
          <w:spacing w:val="0"/>
          <w:sz w:val="21"/>
          <w:lang w:val="en-US" w:eastAsia="zh-CN"/>
        </w:rPr>
        <w:t>2025.6.30</w:t>
      </w:r>
      <w:r>
        <w:rPr>
          <w:rFonts w:hint="eastAsia" w:ascii="宋体" w:hAnsi="宋体"/>
          <w:color w:val="auto"/>
          <w:spacing w:val="0"/>
          <w:sz w:val="21"/>
        </w:rPr>
        <w:t>形成标准征求意见稿及编制说明。</w:t>
      </w:r>
    </w:p>
    <w:p w14:paraId="24E7D1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22" w:firstLineChars="200"/>
        <w:textAlignment w:val="auto"/>
        <w:rPr>
          <w:rFonts w:hint="eastAsia" w:ascii="宋体" w:hAnsi="宋体"/>
          <w:color w:val="auto"/>
          <w:spacing w:val="-6"/>
          <w:sz w:val="21"/>
          <w:lang w:eastAsia="zh-CN"/>
        </w:rPr>
      </w:pPr>
      <w:r>
        <w:rPr>
          <w:rFonts w:hint="eastAsia" w:ascii="宋体" w:hAnsi="宋体"/>
          <w:b/>
          <w:bCs w:val="0"/>
          <w:spacing w:val="0"/>
          <w:sz w:val="21"/>
        </w:rPr>
        <w:t>征求意见阶段：</w:t>
      </w:r>
      <w:r>
        <w:rPr>
          <w:rFonts w:hint="eastAsia" w:ascii="宋体" w:hAnsi="宋体"/>
          <w:color w:val="auto"/>
          <w:spacing w:val="0"/>
          <w:sz w:val="21"/>
        </w:rPr>
        <w:t>经工作组组长</w:t>
      </w:r>
      <w:r>
        <w:rPr>
          <w:rFonts w:hint="eastAsia" w:ascii="宋体" w:hAnsi="宋体"/>
          <w:color w:val="auto"/>
          <w:spacing w:val="0"/>
          <w:sz w:val="21"/>
          <w:lang w:val="en-US" w:eastAsia="zh-CN"/>
        </w:rPr>
        <w:t>李维善</w:t>
      </w:r>
      <w:r>
        <w:rPr>
          <w:rFonts w:hint="eastAsia" w:ascii="宋体" w:hAnsi="宋体"/>
          <w:color w:val="auto"/>
          <w:spacing w:val="0"/>
          <w:sz w:val="21"/>
        </w:rPr>
        <w:t>审核，</w:t>
      </w:r>
      <w:r>
        <w:rPr>
          <w:rFonts w:hint="eastAsia" w:ascii="宋体" w:hAnsi="宋体"/>
          <w:color w:val="auto"/>
          <w:spacing w:val="0"/>
          <w:sz w:val="21"/>
          <w:lang w:eastAsia="zh-CN"/>
        </w:rPr>
        <w:t>标委会同意后定于2025.7.2～2025.9.5为征求意见时间</w:t>
      </w:r>
      <w:r>
        <w:rPr>
          <w:rFonts w:hint="eastAsia" w:ascii="宋体" w:hAnsi="宋体"/>
          <w:color w:val="auto"/>
          <w:spacing w:val="-6"/>
          <w:sz w:val="21"/>
          <w:lang w:eastAsia="zh-CN"/>
        </w:rPr>
        <w:t>。2025.7.2向全体标委会委员和相关单位发出标准“征求意见稿”及编制说明，并同期在网站(http://www.cavm.cn/电影电教标委会)上公布，广泛征求意见，征求意见截止日期为2025.9.5。</w:t>
      </w:r>
    </w:p>
    <w:p w14:paraId="4F737F56">
      <w:pPr>
        <w:keepNext w:val="0"/>
        <w:keepLines w:val="0"/>
        <w:pageBreakBefore w:val="0"/>
        <w:widowControl w:val="0"/>
        <w:tabs>
          <w:tab w:val="left" w:pos="1446"/>
        </w:tabs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3  主要参加单位和工作组成员及其所做的工作等</w:t>
      </w:r>
    </w:p>
    <w:p w14:paraId="13929003">
      <w:pPr>
        <w:keepNext w:val="0"/>
        <w:keepLines w:val="0"/>
        <w:pageBreakBefore w:val="0"/>
        <w:widowControl w:val="0"/>
        <w:tabs>
          <w:tab w:val="left" w:pos="1446"/>
        </w:tabs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20" w:firstLineChars="200"/>
        <w:textAlignment w:val="auto"/>
        <w:rPr>
          <w:rFonts w:hint="eastAsia" w:ascii="宋体" w:hAnsi="宋体"/>
          <w:color w:val="auto"/>
          <w:spacing w:val="-6"/>
          <w:sz w:val="21"/>
        </w:rPr>
      </w:pPr>
      <w:r>
        <w:rPr>
          <w:rFonts w:hint="eastAsia" w:ascii="宋体" w:hAnsi="宋体"/>
          <w:color w:val="auto"/>
        </w:rPr>
        <w:t>本标准由秦皇岛视听机械研究所有限公司、滁州井九网络科技有限公司、张家港市莱特影视器材有限公司、泉州知悉企业管理咨询有限公司、张家港市三星银屏器材有限公司、秦皇岛昌隆银</w:t>
      </w:r>
      <w:r>
        <w:rPr>
          <w:rFonts w:hint="eastAsia" w:ascii="宋体" w:hAnsi="宋体"/>
          <w:color w:val="auto"/>
          <w:spacing w:val="-6"/>
          <w:sz w:val="21"/>
        </w:rPr>
        <w:t>幕有限公司、中科宝溢视觉科技(江苏)有限公司、秦皇岛美视达视听检测技术有限公司负责起草。</w:t>
      </w:r>
    </w:p>
    <w:p w14:paraId="5DD41082">
      <w:pPr>
        <w:keepNext w:val="0"/>
        <w:keepLines w:val="0"/>
        <w:pageBreakBefore w:val="0"/>
        <w:widowControl w:val="0"/>
        <w:tabs>
          <w:tab w:val="left" w:pos="1446"/>
        </w:tabs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20" w:firstLineChars="200"/>
        <w:textAlignment w:val="auto"/>
        <w:rPr>
          <w:rFonts w:hint="eastAsia" w:ascii="宋体" w:hAnsi="宋体"/>
          <w:color w:val="auto"/>
        </w:rPr>
      </w:pPr>
      <w:r>
        <w:rPr>
          <w:rFonts w:hint="eastAsia" w:ascii="宋体" w:hAnsi="宋体"/>
          <w:color w:val="auto"/>
        </w:rPr>
        <w:t>主要成员：李维善、</w:t>
      </w:r>
      <w:r>
        <w:rPr>
          <w:rFonts w:hint="eastAsia" w:ascii="宋体" w:hAnsi="宋体"/>
          <w:color w:val="auto"/>
          <w:lang w:val="en-US" w:eastAsia="zh-CN"/>
        </w:rPr>
        <w:t>韩东、</w:t>
      </w:r>
      <w:r>
        <w:rPr>
          <w:rFonts w:hint="eastAsia" w:ascii="宋体" w:hAnsi="宋体"/>
          <w:color w:val="auto"/>
        </w:rPr>
        <w:t>张华、刘太龙。</w:t>
      </w:r>
    </w:p>
    <w:p w14:paraId="2E82AF62">
      <w:pPr>
        <w:keepNext w:val="0"/>
        <w:keepLines w:val="0"/>
        <w:pageBreakBefore w:val="0"/>
        <w:widowControl w:val="0"/>
        <w:tabs>
          <w:tab w:val="left" w:pos="1446"/>
        </w:tabs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20" w:firstLineChars="200"/>
        <w:textAlignment w:val="auto"/>
        <w:rPr>
          <w:rFonts w:ascii="宋体" w:hAnsi="宋体"/>
          <w:color w:val="auto"/>
        </w:rPr>
      </w:pPr>
      <w:r>
        <w:rPr>
          <w:rFonts w:hint="eastAsia" w:ascii="宋体" w:hAnsi="宋体"/>
          <w:color w:val="auto"/>
        </w:rPr>
        <w:t>所做工作：</w:t>
      </w:r>
      <w:r>
        <w:rPr>
          <w:rFonts w:hint="eastAsia" w:ascii="宋体" w:hAnsi="宋体"/>
          <w:color w:val="auto"/>
          <w:lang w:val="en-US" w:eastAsia="zh-CN"/>
        </w:rPr>
        <w:t>李维善</w:t>
      </w:r>
      <w:r>
        <w:rPr>
          <w:rFonts w:hint="eastAsia" w:ascii="宋体" w:hAnsi="宋体"/>
          <w:color w:val="auto"/>
          <w:spacing w:val="-6"/>
          <w:sz w:val="21"/>
        </w:rPr>
        <w:t>任工作组组长，主持全面协调工作，负责本标准的编写，</w:t>
      </w:r>
      <w:r>
        <w:rPr>
          <w:rFonts w:hint="eastAsia" w:ascii="宋体" w:hAnsi="宋体"/>
          <w:color w:val="auto"/>
          <w:spacing w:val="-6"/>
          <w:sz w:val="21"/>
          <w:lang w:val="en-US" w:eastAsia="zh-CN"/>
        </w:rPr>
        <w:t>韩东</w:t>
      </w:r>
      <w:r>
        <w:rPr>
          <w:rFonts w:hint="eastAsia" w:ascii="宋体" w:hAnsi="宋体"/>
          <w:color w:val="auto"/>
          <w:spacing w:val="-6"/>
          <w:sz w:val="21"/>
        </w:rPr>
        <w:t>协助执笔。</w:t>
      </w:r>
      <w:r>
        <w:rPr>
          <w:rFonts w:hint="eastAsia" w:ascii="宋体" w:hAnsi="宋体"/>
          <w:color w:val="auto"/>
        </w:rPr>
        <w:t>张华、刘太龙</w:t>
      </w:r>
      <w:r>
        <w:rPr>
          <w:rFonts w:hint="eastAsia" w:ascii="宋体" w:hAnsi="宋体"/>
          <w:color w:val="auto"/>
          <w:spacing w:val="-6"/>
          <w:sz w:val="21"/>
        </w:rPr>
        <w:t>负责对国内外</w:t>
      </w:r>
      <w:r>
        <w:rPr>
          <w:rFonts w:hint="eastAsia" w:ascii="宋体" w:hAnsi="宋体"/>
          <w:color w:val="auto"/>
          <w:lang w:val="en-US" w:eastAsia="zh-CN"/>
        </w:rPr>
        <w:t>多媒体数字投影球系统</w:t>
      </w:r>
      <w:r>
        <w:rPr>
          <w:rFonts w:hint="eastAsia" w:ascii="宋体" w:hAnsi="宋体"/>
          <w:color w:val="auto"/>
          <w:spacing w:val="-6"/>
          <w:sz w:val="21"/>
          <w:lang w:eastAsia="zh-CN"/>
        </w:rPr>
        <w:t>的</w:t>
      </w:r>
      <w:r>
        <w:rPr>
          <w:rFonts w:hint="eastAsia" w:ascii="宋体" w:hAnsi="宋体"/>
          <w:color w:val="auto"/>
          <w:spacing w:val="-6"/>
          <w:sz w:val="21"/>
        </w:rPr>
        <w:t>技术</w:t>
      </w:r>
      <w:r>
        <w:rPr>
          <w:rFonts w:hint="eastAsia" w:ascii="宋体" w:hAnsi="宋体"/>
          <w:color w:val="auto"/>
          <w:spacing w:val="-6"/>
          <w:sz w:val="21"/>
          <w:lang w:eastAsia="zh-CN"/>
        </w:rPr>
        <w:t>、</w:t>
      </w:r>
      <w:r>
        <w:rPr>
          <w:rFonts w:hint="eastAsia" w:ascii="宋体" w:hAnsi="宋体"/>
          <w:color w:val="auto"/>
          <w:spacing w:val="-6"/>
          <w:sz w:val="21"/>
        </w:rPr>
        <w:t>生产现状</w:t>
      </w:r>
      <w:r>
        <w:rPr>
          <w:rFonts w:hint="eastAsia" w:ascii="宋体" w:hAnsi="宋体"/>
          <w:color w:val="auto"/>
          <w:spacing w:val="-6"/>
          <w:sz w:val="21"/>
          <w:lang w:val="en-US" w:eastAsia="zh-CN"/>
        </w:rPr>
        <w:t>及</w:t>
      </w:r>
      <w:r>
        <w:rPr>
          <w:rFonts w:hint="eastAsia" w:ascii="宋体" w:hAnsi="宋体"/>
          <w:color w:val="auto"/>
          <w:spacing w:val="-6"/>
          <w:sz w:val="21"/>
        </w:rPr>
        <w:t>发展</w:t>
      </w:r>
      <w:r>
        <w:rPr>
          <w:rFonts w:hint="eastAsia" w:ascii="宋体" w:hAnsi="宋体"/>
          <w:color w:val="auto"/>
          <w:spacing w:val="-6"/>
          <w:sz w:val="21"/>
          <w:lang w:val="en-US" w:eastAsia="zh-CN"/>
        </w:rPr>
        <w:t>情况</w:t>
      </w:r>
      <w:r>
        <w:rPr>
          <w:rFonts w:hint="eastAsia" w:ascii="宋体" w:hAnsi="宋体"/>
          <w:color w:val="auto"/>
          <w:spacing w:val="-6"/>
          <w:sz w:val="21"/>
        </w:rPr>
        <w:t>进行全面调研，同时广泛收集和检索国内外</w:t>
      </w:r>
      <w:r>
        <w:rPr>
          <w:rFonts w:hint="eastAsia" w:ascii="宋体" w:hAnsi="宋体"/>
          <w:color w:val="auto"/>
          <w:lang w:val="en-US" w:eastAsia="zh-CN"/>
        </w:rPr>
        <w:t>多媒体数字投影球系统</w:t>
      </w:r>
      <w:r>
        <w:rPr>
          <w:rFonts w:hint="eastAsia" w:ascii="宋体" w:hAnsi="宋体"/>
          <w:color w:val="auto"/>
          <w:spacing w:val="-6"/>
          <w:sz w:val="21"/>
        </w:rPr>
        <w:t>的技术和生产资料，进行研究分析、资料查证等工作。</w:t>
      </w:r>
    </w:p>
    <w:p w14:paraId="26CFAED1">
      <w:pPr>
        <w:keepNext w:val="0"/>
        <w:keepLines w:val="0"/>
        <w:pageBreakBefore w:val="0"/>
        <w:widowControl w:val="0"/>
        <w:tabs>
          <w:tab w:val="left" w:pos="1446"/>
        </w:tabs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二、标准编制原则和主要内容</w:t>
      </w:r>
    </w:p>
    <w:p w14:paraId="57B7FD87">
      <w:pPr>
        <w:keepNext w:val="0"/>
        <w:keepLines w:val="0"/>
        <w:pageBreakBefore w:val="0"/>
        <w:widowControl w:val="0"/>
        <w:tabs>
          <w:tab w:val="left" w:pos="1446"/>
        </w:tabs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1  标准编制原则</w:t>
      </w:r>
    </w:p>
    <w:p w14:paraId="739045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20" w:firstLineChars="200"/>
        <w:textAlignment w:val="auto"/>
        <w:rPr>
          <w:rFonts w:ascii="宋体" w:hAnsi="宋体"/>
        </w:rPr>
      </w:pPr>
      <w:r>
        <w:rPr>
          <w:rFonts w:hint="eastAsia" w:ascii="宋体" w:hAnsi="宋体" w:cs="宋体"/>
        </w:rPr>
        <w:t>本标准的</w:t>
      </w:r>
      <w:r>
        <w:rPr>
          <w:rFonts w:hint="eastAsia" w:ascii="宋体" w:hAnsi="宋体" w:cs="宋体"/>
          <w:lang w:val="en-US" w:eastAsia="zh-CN"/>
        </w:rPr>
        <w:t>修订</w:t>
      </w:r>
      <w:r>
        <w:rPr>
          <w:rFonts w:hint="eastAsia" w:ascii="宋体" w:hAnsi="宋体" w:cs="宋体"/>
        </w:rPr>
        <w:t>符合产业发展的原则，本着先进性、科学性、合理性和可操作性的原则以及标准的协调性、适用性、一致性和规范性原则来进行本标准的</w:t>
      </w:r>
      <w:r>
        <w:rPr>
          <w:rFonts w:hint="eastAsia" w:ascii="宋体" w:hAnsi="宋体" w:cs="宋体"/>
          <w:lang w:val="en-US" w:eastAsia="zh-CN"/>
        </w:rPr>
        <w:t>修订</w:t>
      </w:r>
      <w:r>
        <w:rPr>
          <w:rFonts w:hint="eastAsia" w:ascii="宋体" w:hAnsi="宋体" w:cs="宋体"/>
        </w:rPr>
        <w:t>工作。本标准起草过程中，主要按照</w:t>
      </w:r>
      <w:r>
        <w:rPr>
          <w:rFonts w:ascii="宋体" w:hAnsi="宋体" w:cs="宋体"/>
        </w:rPr>
        <w:t>GB/T 1.1-20</w:t>
      </w:r>
      <w:r>
        <w:rPr>
          <w:rFonts w:hint="eastAsia" w:ascii="宋体" w:hAnsi="宋体" w:cs="宋体"/>
        </w:rPr>
        <w:t>20《标准化工作导则</w:t>
      </w:r>
      <w:r>
        <w:rPr>
          <w:rFonts w:ascii="宋体" w:hAnsi="宋体" w:cs="宋体"/>
        </w:rPr>
        <w:t xml:space="preserve">  </w:t>
      </w:r>
      <w:r>
        <w:rPr>
          <w:rFonts w:hint="eastAsia" w:ascii="宋体" w:hAnsi="宋体" w:cs="宋体"/>
        </w:rPr>
        <w:t>第</w:t>
      </w:r>
      <w:r>
        <w:rPr>
          <w:rFonts w:ascii="宋体" w:hAnsi="宋体" w:cs="宋体"/>
        </w:rPr>
        <w:t>1</w:t>
      </w:r>
      <w:r>
        <w:rPr>
          <w:rFonts w:hint="eastAsia" w:ascii="宋体" w:hAnsi="宋体" w:cs="宋体"/>
        </w:rPr>
        <w:t>部分：标准化文件的结构和起草规则”》和</w:t>
      </w:r>
      <w:r>
        <w:rPr>
          <w:rFonts w:ascii="宋体" w:hAnsi="宋体" w:cs="宋体"/>
        </w:rPr>
        <w:t>GB/T 20001.10-2014</w:t>
      </w:r>
      <w:r>
        <w:rPr>
          <w:rFonts w:hint="eastAsia" w:ascii="宋体" w:hAnsi="宋体" w:cs="宋体"/>
        </w:rPr>
        <w:t xml:space="preserve">《标准编写规则 </w:t>
      </w:r>
      <w:r>
        <w:rPr>
          <w:rFonts w:ascii="宋体" w:hAnsi="宋体" w:cs="宋体"/>
        </w:rPr>
        <w:t xml:space="preserve"> </w:t>
      </w:r>
      <w:r>
        <w:rPr>
          <w:rFonts w:hint="eastAsia" w:ascii="宋体" w:hAnsi="宋体" w:cs="宋体"/>
        </w:rPr>
        <w:t>第</w:t>
      </w:r>
      <w:r>
        <w:rPr>
          <w:rFonts w:ascii="宋体" w:hAnsi="宋体" w:cs="宋体"/>
        </w:rPr>
        <w:t>10</w:t>
      </w:r>
      <w:r>
        <w:rPr>
          <w:rFonts w:hint="eastAsia" w:ascii="宋体" w:hAnsi="宋体" w:cs="宋体"/>
        </w:rPr>
        <w:t>部分：产品标准》进行编写。</w:t>
      </w:r>
    </w:p>
    <w:p w14:paraId="54240342">
      <w:pPr>
        <w:keepNext w:val="0"/>
        <w:keepLines w:val="0"/>
        <w:pageBreakBefore w:val="0"/>
        <w:widowControl w:val="0"/>
        <w:tabs>
          <w:tab w:val="left" w:pos="1446"/>
        </w:tabs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黑体" w:hAnsi="黑体" w:eastAsia="黑体"/>
        </w:rPr>
      </w:pPr>
    </w:p>
    <w:p w14:paraId="706D325F">
      <w:pPr>
        <w:keepNext w:val="0"/>
        <w:keepLines w:val="0"/>
        <w:pageBreakBefore w:val="0"/>
        <w:widowControl w:val="0"/>
        <w:tabs>
          <w:tab w:val="left" w:pos="1446"/>
        </w:tabs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2  标准主要内容</w:t>
      </w:r>
    </w:p>
    <w:p w14:paraId="3A580C0A">
      <w:pPr>
        <w:keepNext w:val="0"/>
        <w:keepLines w:val="0"/>
        <w:pageBreakBefore w:val="0"/>
        <w:widowControl w:val="0"/>
        <w:tabs>
          <w:tab w:val="left" w:pos="144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本文件规定了多媒体数字投影球系统的球形屏幕直径、组成及功能、技术要求、试验方法、检验规则以及标志、包装、运输、贮存。</w:t>
      </w:r>
    </w:p>
    <w:p w14:paraId="1FAB5BF3">
      <w:pPr>
        <w:keepNext w:val="0"/>
        <w:keepLines w:val="0"/>
        <w:pageBreakBefore w:val="0"/>
        <w:widowControl w:val="0"/>
        <w:tabs>
          <w:tab w:val="left" w:pos="144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ascii="宋体" w:hAnsi="宋体"/>
          <w:color w:val="auto"/>
        </w:rPr>
      </w:pPr>
      <w:r>
        <w:rPr>
          <w:rFonts w:hint="eastAsia"/>
        </w:rPr>
        <w:t>本文件适用于使用一台投影机的多媒体数字投影球背投系统</w:t>
      </w:r>
      <w:r>
        <w:rPr>
          <w:rFonts w:hAnsi="宋体"/>
        </w:rPr>
        <w:t>。</w:t>
      </w:r>
    </w:p>
    <w:p w14:paraId="138903A0">
      <w:pPr>
        <w:keepNext w:val="0"/>
        <w:keepLines w:val="0"/>
        <w:pageBreakBefore w:val="0"/>
        <w:widowControl w:val="0"/>
        <w:tabs>
          <w:tab w:val="left" w:pos="1446"/>
        </w:tabs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3  主要技术差异</w:t>
      </w:r>
    </w:p>
    <w:p w14:paraId="354BCC62">
      <w:pPr>
        <w:keepNext w:val="0"/>
        <w:keepLines w:val="0"/>
        <w:pageBreakBefore w:val="0"/>
        <w:widowControl w:val="0"/>
        <w:tabs>
          <w:tab w:val="left" w:pos="1446"/>
        </w:tabs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20" w:firstLineChars="200"/>
        <w:textAlignment w:val="auto"/>
        <w:rPr>
          <w:rFonts w:hint="eastAsia" w:ascii="宋体" w:hAnsi="宋体" w:eastAsia="宋体" w:cs="Times New Roman"/>
          <w:color w:val="auto"/>
          <w:lang w:val="en-US" w:eastAsia="zh-CN"/>
        </w:rPr>
      </w:pPr>
      <w:r>
        <w:rPr>
          <w:rFonts w:hint="eastAsia" w:ascii="宋体" w:hAnsi="宋体" w:eastAsia="宋体" w:cs="Times New Roman"/>
          <w:color w:val="auto"/>
        </w:rPr>
        <w:t xml:space="preserve">本标准与JB/T </w:t>
      </w:r>
      <w:r>
        <w:rPr>
          <w:rFonts w:hint="eastAsia" w:ascii="宋体" w:hAnsi="宋体" w:cs="Times New Roman"/>
          <w:color w:val="auto"/>
          <w:lang w:val="en-US" w:eastAsia="zh-CN"/>
        </w:rPr>
        <w:t>12108</w:t>
      </w:r>
      <w:r>
        <w:rPr>
          <w:rFonts w:hint="eastAsia" w:ascii="宋体" w:hAnsi="宋体" w:eastAsia="宋体" w:cs="Times New Roman"/>
          <w:color w:val="auto"/>
        </w:rPr>
        <w:t>-201</w:t>
      </w:r>
      <w:r>
        <w:rPr>
          <w:rFonts w:hint="eastAsia" w:ascii="宋体" w:hAnsi="宋体" w:cs="Times New Roman"/>
          <w:color w:val="auto"/>
          <w:lang w:val="en-US" w:eastAsia="zh-CN"/>
        </w:rPr>
        <w:t>5</w:t>
      </w:r>
      <w:r>
        <w:rPr>
          <w:rFonts w:hint="eastAsia" w:ascii="宋体" w:hAnsi="宋体" w:eastAsia="宋体" w:cs="Times New Roman"/>
          <w:color w:val="auto"/>
        </w:rPr>
        <w:t>相比，除编辑性修改外，</w:t>
      </w:r>
      <w:r>
        <w:rPr>
          <w:rFonts w:hint="eastAsia" w:ascii="宋体" w:hAnsi="宋体" w:eastAsia="宋体" w:cs="Times New Roman"/>
          <w:color w:val="auto"/>
          <w:lang w:val="en-US" w:eastAsia="zh-CN"/>
        </w:rPr>
        <w:t>更改了“组成及功能”的内容；更改了“光学性能”中帧内对比度和通断比；更改了“触摸屏”触摸精度及试验方法；更改了“投影机”分辨率；增加了“触摸传感器”要求及试验方法。</w:t>
      </w:r>
    </w:p>
    <w:p w14:paraId="057C565A">
      <w:pPr>
        <w:keepNext w:val="0"/>
        <w:keepLines w:val="0"/>
        <w:pageBreakBefore w:val="0"/>
        <w:widowControl w:val="0"/>
        <w:tabs>
          <w:tab w:val="left" w:pos="1446"/>
        </w:tabs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4  解决的主要问题</w:t>
      </w:r>
    </w:p>
    <w:p w14:paraId="2D848D92">
      <w:pPr>
        <w:keepNext w:val="0"/>
        <w:keepLines w:val="0"/>
        <w:pageBreakBefore w:val="0"/>
        <w:widowControl w:val="0"/>
        <w:tabs>
          <w:tab w:val="left" w:pos="1446"/>
        </w:tabs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20" w:firstLineChars="200"/>
        <w:textAlignment w:val="auto"/>
        <w:rPr>
          <w:rFonts w:hint="default" w:ascii="宋体" w:hAnsi="宋体" w:eastAsia="宋体" w:cs="Times New Roman"/>
          <w:color w:val="auto"/>
          <w:lang w:val="en-US" w:eastAsia="zh-CN"/>
        </w:rPr>
      </w:pPr>
      <w:r>
        <w:rPr>
          <w:rFonts w:hint="eastAsia" w:ascii="宋体" w:hAnsi="宋体" w:cs="Times New Roman"/>
          <w:color w:val="auto"/>
          <w:lang w:val="en-US" w:eastAsia="zh-CN"/>
        </w:rPr>
        <w:t>(</w:t>
      </w:r>
      <w:r>
        <w:rPr>
          <w:rFonts w:hint="eastAsia" w:ascii="宋体" w:hAnsi="宋体" w:eastAsia="宋体" w:cs="Times New Roman"/>
          <w:color w:val="auto"/>
          <w:lang w:val="en-US" w:eastAsia="zh-CN"/>
        </w:rPr>
        <w:t>1</w:t>
      </w:r>
      <w:r>
        <w:rPr>
          <w:rFonts w:hint="eastAsia" w:ascii="宋体" w:hAnsi="宋体" w:cs="Times New Roman"/>
          <w:color w:val="auto"/>
          <w:lang w:val="en-US" w:eastAsia="zh-CN"/>
        </w:rPr>
        <w:t>)</w:t>
      </w:r>
      <w:r>
        <w:rPr>
          <w:rFonts w:hint="eastAsia" w:ascii="宋体" w:hAnsi="宋体" w:eastAsia="宋体" w:cs="Times New Roman"/>
          <w:color w:val="auto"/>
          <w:lang w:val="en-US" w:eastAsia="zh-CN"/>
        </w:rPr>
        <w:t>解决现行行业标准滞后于当前技术发展问题。</w:t>
      </w:r>
    </w:p>
    <w:p w14:paraId="04C6ED5A">
      <w:pPr>
        <w:keepNext w:val="0"/>
        <w:keepLines w:val="0"/>
        <w:pageBreakBefore w:val="0"/>
        <w:widowControl w:val="0"/>
        <w:tabs>
          <w:tab w:val="left" w:pos="1446"/>
        </w:tabs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20" w:firstLineChars="200"/>
        <w:textAlignment w:val="auto"/>
        <w:rPr>
          <w:rFonts w:hint="eastAsia" w:ascii="宋体" w:hAnsi="宋体" w:eastAsia="宋体" w:cs="Times New Roman"/>
          <w:color w:val="auto"/>
          <w:lang w:val="en-US" w:eastAsia="zh-CN"/>
        </w:rPr>
      </w:pPr>
      <w:r>
        <w:rPr>
          <w:rFonts w:hint="eastAsia" w:ascii="宋体" w:hAnsi="宋体" w:cs="Times New Roman"/>
          <w:color w:val="auto"/>
          <w:lang w:val="en-US" w:eastAsia="zh-CN"/>
        </w:rPr>
        <w:t>(</w:t>
      </w:r>
      <w:r>
        <w:rPr>
          <w:rFonts w:hint="eastAsia" w:ascii="宋体" w:hAnsi="宋体" w:eastAsia="宋体" w:cs="Times New Roman"/>
          <w:color w:val="auto"/>
          <w:lang w:val="en-US" w:eastAsia="zh-CN"/>
        </w:rPr>
        <w:t>2</w:t>
      </w:r>
      <w:r>
        <w:rPr>
          <w:rFonts w:hint="eastAsia" w:ascii="宋体" w:hAnsi="宋体" w:cs="Times New Roman"/>
          <w:color w:val="auto"/>
          <w:lang w:val="en-US" w:eastAsia="zh-CN"/>
        </w:rPr>
        <w:t>)</w:t>
      </w:r>
      <w:r>
        <w:rPr>
          <w:rFonts w:hint="eastAsia" w:ascii="宋体" w:hAnsi="宋体" w:eastAsia="宋体" w:cs="Times New Roman"/>
          <w:color w:val="auto"/>
          <w:lang w:val="en-US" w:eastAsia="zh-CN"/>
        </w:rPr>
        <w:t>解决产业转型升级无先进标准可依的问题。</w:t>
      </w:r>
    </w:p>
    <w:p w14:paraId="6576DC1C">
      <w:pPr>
        <w:keepNext w:val="0"/>
        <w:keepLines w:val="0"/>
        <w:pageBreakBefore w:val="0"/>
        <w:widowControl w:val="0"/>
        <w:tabs>
          <w:tab w:val="left" w:pos="1446"/>
        </w:tabs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20" w:firstLineChars="200"/>
        <w:textAlignment w:val="auto"/>
        <w:rPr>
          <w:rFonts w:hint="default" w:ascii="宋体" w:hAnsi="宋体" w:eastAsia="宋体" w:cs="Times New Roman"/>
          <w:color w:val="auto"/>
          <w:spacing w:val="-6"/>
          <w:sz w:val="21"/>
          <w:lang w:val="en-US" w:eastAsia="zh-CN"/>
        </w:rPr>
      </w:pPr>
      <w:r>
        <w:rPr>
          <w:rFonts w:hint="eastAsia" w:ascii="宋体" w:hAnsi="宋体" w:cs="Times New Roman"/>
          <w:color w:val="auto"/>
          <w:lang w:val="en-US" w:eastAsia="zh-CN"/>
        </w:rPr>
        <w:t>(</w:t>
      </w:r>
      <w:r>
        <w:rPr>
          <w:rFonts w:hint="eastAsia" w:ascii="宋体" w:hAnsi="宋体" w:eastAsia="宋体" w:cs="Times New Roman"/>
          <w:color w:val="auto"/>
          <w:lang w:val="en-US" w:eastAsia="zh-CN"/>
        </w:rPr>
        <w:t>3</w:t>
      </w:r>
      <w:r>
        <w:rPr>
          <w:rFonts w:hint="eastAsia" w:ascii="宋体" w:hAnsi="宋体" w:cs="Times New Roman"/>
          <w:color w:val="auto"/>
          <w:lang w:val="en-US" w:eastAsia="zh-CN"/>
        </w:rPr>
        <w:t>)</w:t>
      </w:r>
      <w:r>
        <w:rPr>
          <w:rFonts w:hint="eastAsia" w:ascii="宋体" w:hAnsi="宋体" w:eastAsia="宋体" w:cs="Times New Roman"/>
          <w:color w:val="auto"/>
          <w:lang w:val="en-US" w:eastAsia="zh-CN"/>
        </w:rPr>
        <w:t>有</w:t>
      </w:r>
      <w:r>
        <w:rPr>
          <w:rFonts w:hint="eastAsia" w:ascii="宋体" w:hAnsi="宋体" w:eastAsia="宋体" w:cs="Times New Roman"/>
          <w:color w:val="auto"/>
          <w:spacing w:val="-6"/>
          <w:sz w:val="21"/>
          <w:lang w:val="en-US" w:eastAsia="zh-CN"/>
        </w:rPr>
        <w:t>助于规范行业内的生产和服务行为，提升行业水平和形象，促进行业高质量健康发展。</w:t>
      </w:r>
    </w:p>
    <w:p w14:paraId="576B0C75">
      <w:pPr>
        <w:keepNext w:val="0"/>
        <w:keepLines w:val="0"/>
        <w:pageBreakBefore w:val="0"/>
        <w:widowControl w:val="0"/>
        <w:tabs>
          <w:tab w:val="left" w:pos="1446"/>
        </w:tabs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三、主要试验(或验证)情况</w:t>
      </w:r>
    </w:p>
    <w:p w14:paraId="322C032D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 w:firstLineChars="200"/>
        <w:textAlignment w:val="auto"/>
        <w:rPr>
          <w:rFonts w:hint="eastAsia" w:ascii="宋体" w:hAnsi="宋体" w:eastAsia="宋体" w:cs="宋体"/>
          <w:color w:val="auto"/>
          <w:szCs w:val="21"/>
          <w:lang w:eastAsia="zh-CN"/>
        </w:rPr>
      </w:pPr>
      <w:r>
        <w:rPr>
          <w:rFonts w:hint="eastAsia" w:ascii="宋体" w:hAnsi="宋体" w:eastAsia="宋体" w:cs="宋体"/>
          <w:color w:val="auto"/>
          <w:szCs w:val="21"/>
        </w:rPr>
        <w:t>本标准是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多媒体数字投影球</w:t>
      </w:r>
      <w:r>
        <w:rPr>
          <w:rFonts w:hint="eastAsia" w:ascii="宋体" w:hAnsi="宋体" w:eastAsia="宋体" w:cs="宋体"/>
          <w:color w:val="auto"/>
          <w:szCs w:val="21"/>
        </w:rPr>
        <w:t>行业产品中最基础、最全面的产品类标准，在</w:t>
      </w:r>
      <w:r>
        <w:rPr>
          <w:rFonts w:hint="eastAsia" w:ascii="宋体" w:hAnsi="宋体" w:cs="宋体"/>
          <w:color w:val="auto"/>
          <w:szCs w:val="21"/>
          <w:lang w:val="en-US" w:eastAsia="zh-CN"/>
        </w:rPr>
        <w:t>多媒体数字投影球</w:t>
      </w:r>
      <w:r>
        <w:rPr>
          <w:rFonts w:hint="eastAsia" w:ascii="宋体" w:hAnsi="宋体" w:eastAsia="宋体" w:cs="宋体"/>
          <w:color w:val="auto"/>
          <w:szCs w:val="21"/>
        </w:rPr>
        <w:t>产品十多年的发展过程和实际应用中得到了充分和实际验证。随着</w:t>
      </w:r>
      <w:r>
        <w:rPr>
          <w:rFonts w:hint="eastAsia" w:ascii="宋体" w:hAnsi="宋体" w:eastAsia="宋体" w:cs="宋体"/>
          <w:color w:val="auto"/>
          <w:szCs w:val="21"/>
          <w:lang w:val="en-US" w:eastAsia="zh-CN"/>
        </w:rPr>
        <w:t>多媒体</w:t>
      </w:r>
      <w:r>
        <w:rPr>
          <w:rFonts w:hint="eastAsia" w:ascii="宋体" w:hAnsi="宋体" w:eastAsia="宋体" w:cs="宋体"/>
          <w:color w:val="auto"/>
          <w:szCs w:val="21"/>
        </w:rPr>
        <w:t>技术的快速迭代升级以及新应用技术的出现，多媒体数字投影球系统也随着技术的进步与发展进行了升级、创新，其性能、功能均得到了快速提升，如</w:t>
      </w:r>
      <w:r>
        <w:rPr>
          <w:rFonts w:hint="eastAsia" w:ascii="宋体" w:hAnsi="宋体" w:eastAsia="宋体" w:cs="宋体"/>
          <w:color w:val="auto"/>
          <w:szCs w:val="21"/>
          <w:lang w:val="en-US" w:eastAsia="zh-CN"/>
        </w:rPr>
        <w:t>当前市场流通的</w:t>
      </w:r>
      <w:r>
        <w:rPr>
          <w:rFonts w:hint="eastAsia" w:ascii="宋体" w:hAnsi="宋体" w:eastAsia="宋体" w:cs="宋体"/>
          <w:color w:val="auto"/>
          <w:szCs w:val="21"/>
        </w:rPr>
        <w:t>产品显示分辨率均已在2K及以上</w:t>
      </w:r>
      <w:r>
        <w:rPr>
          <w:rFonts w:hint="eastAsia" w:ascii="宋体" w:hAnsi="宋体" w:eastAsia="宋体" w:cs="宋体"/>
          <w:color w:val="auto"/>
          <w:szCs w:val="21"/>
          <w:lang w:eastAsia="zh-CN"/>
        </w:rPr>
        <w:t>，</w:t>
      </w:r>
      <w:r>
        <w:rPr>
          <w:rFonts w:hint="eastAsia" w:ascii="宋体" w:hAnsi="宋体" w:eastAsia="宋体" w:cs="宋体"/>
          <w:color w:val="auto"/>
          <w:szCs w:val="21"/>
          <w:lang w:val="en-US" w:eastAsia="zh-CN"/>
        </w:rPr>
        <w:t>同时</w:t>
      </w:r>
      <w:r>
        <w:rPr>
          <w:rFonts w:hint="eastAsia" w:ascii="宋体" w:hAnsi="宋体" w:eastAsia="宋体" w:cs="宋体"/>
          <w:color w:val="auto"/>
          <w:szCs w:val="21"/>
        </w:rPr>
        <w:t>加入了触摸互动功能等，而JB∕T 12108-2015没有对触摸互动技术进行相关规范，对于产品显示分辨率的要求较低，已不再适用于当前的新型产品</w:t>
      </w:r>
      <w:r>
        <w:rPr>
          <w:rFonts w:hint="eastAsia" w:ascii="宋体" w:hAnsi="宋体" w:eastAsia="宋体" w:cs="宋体"/>
          <w:color w:val="auto"/>
          <w:szCs w:val="21"/>
          <w:lang w:eastAsia="zh-CN"/>
        </w:rPr>
        <w:t>。</w:t>
      </w:r>
    </w:p>
    <w:p w14:paraId="6D68BCDE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firstLine="420" w:firstLineChars="200"/>
        <w:textAlignment w:val="auto"/>
        <w:rPr>
          <w:rFonts w:hint="eastAsia" w:ascii="宋体" w:hAnsi="宋体" w:eastAsia="宋体" w:cs="宋体"/>
          <w:color w:val="auto"/>
          <w:szCs w:val="21"/>
        </w:rPr>
      </w:pPr>
      <w:r>
        <w:rPr>
          <w:rFonts w:hint="eastAsia" w:ascii="宋体" w:hAnsi="宋体" w:eastAsia="宋体" w:cs="宋体"/>
          <w:color w:val="auto"/>
          <w:szCs w:val="21"/>
        </w:rPr>
        <w:t>此次修订</w:t>
      </w:r>
      <w:r>
        <w:rPr>
          <w:rFonts w:hint="eastAsia" w:ascii="宋体" w:hAnsi="宋体" w:eastAsia="宋体" w:cs="宋体"/>
          <w:color w:val="auto"/>
          <w:szCs w:val="21"/>
          <w:lang w:val="en-US" w:eastAsia="zh-CN"/>
        </w:rPr>
        <w:t>修改了“组成及功能”的内容，增加了触控传感器；提高了“光学性能”中帧内对比度和通断比的技术要求，分别为</w:t>
      </w:r>
      <w:r>
        <w:rPr>
          <w:rFonts w:hint="eastAsia" w:ascii="宋体" w:hAnsi="宋体" w:eastAsia="宋体" w:cs="宋体"/>
          <w:color w:val="auto"/>
          <w:szCs w:val="21"/>
        </w:rPr>
        <w:t>不应小于10:1</w:t>
      </w:r>
      <w:r>
        <w:rPr>
          <w:rFonts w:hint="eastAsia" w:ascii="宋体" w:hAnsi="宋体" w:eastAsia="宋体" w:cs="宋体"/>
          <w:color w:val="auto"/>
          <w:szCs w:val="21"/>
          <w:lang w:eastAsia="zh-CN"/>
        </w:rPr>
        <w:t>，</w:t>
      </w:r>
      <w:r>
        <w:rPr>
          <w:rFonts w:hint="eastAsia" w:ascii="宋体" w:hAnsi="宋体" w:eastAsia="宋体" w:cs="宋体"/>
          <w:color w:val="auto"/>
          <w:szCs w:val="21"/>
        </w:rPr>
        <w:t>不应小于1200:1</w:t>
      </w:r>
      <w:r>
        <w:rPr>
          <w:rFonts w:hint="eastAsia" w:ascii="宋体" w:hAnsi="宋体" w:eastAsia="宋体" w:cs="宋体"/>
          <w:color w:val="auto"/>
          <w:szCs w:val="21"/>
          <w:lang w:val="en-US" w:eastAsia="zh-CN"/>
        </w:rPr>
        <w:t>；更改了“触摸屏”触摸精度及试验方法；更改了“投影机”分辨率，要求</w:t>
      </w:r>
      <w:r>
        <w:rPr>
          <w:rFonts w:hint="eastAsia" w:ascii="宋体" w:hAnsi="宋体"/>
          <w:szCs w:val="21"/>
        </w:rPr>
        <w:t>不应小于</w:t>
      </w:r>
      <w:r>
        <w:rPr>
          <w:rFonts w:ascii="宋体" w:hAnsi="宋体"/>
          <w:szCs w:val="21"/>
        </w:rPr>
        <w:t>1920</w:t>
      </w:r>
      <w:r>
        <w:rPr>
          <w:rFonts w:hint="eastAsia" w:ascii="宋体" w:hAnsi="宋体"/>
          <w:szCs w:val="21"/>
        </w:rPr>
        <w:t>×1</w:t>
      </w:r>
      <w:r>
        <w:rPr>
          <w:rFonts w:ascii="宋体" w:hAnsi="宋体"/>
          <w:szCs w:val="21"/>
        </w:rPr>
        <w:t>080</w:t>
      </w:r>
      <w:r>
        <w:rPr>
          <w:rFonts w:hint="eastAsia" w:ascii="宋体" w:hAnsi="宋体"/>
          <w:szCs w:val="21"/>
        </w:rPr>
        <w:t>(像素)</w:t>
      </w:r>
      <w:r>
        <w:rPr>
          <w:rFonts w:hint="eastAsia" w:ascii="宋体" w:hAnsi="宋体" w:eastAsia="宋体" w:cs="宋体"/>
          <w:color w:val="auto"/>
          <w:szCs w:val="21"/>
          <w:lang w:val="en-US" w:eastAsia="zh-CN"/>
        </w:rPr>
        <w:t>；增加了“触摸传感器”要求及试验方法</w:t>
      </w:r>
      <w:r>
        <w:rPr>
          <w:rFonts w:hint="eastAsia" w:ascii="宋体" w:hAnsi="宋体" w:eastAsia="宋体" w:cs="宋体"/>
          <w:color w:val="auto"/>
          <w:szCs w:val="21"/>
        </w:rPr>
        <w:t>。起草单位通过对产品进行出厂检验，各主要性能指标均符合标准规定的要求，证明本标准规定的主要技术要求既先进合理，又切实可行。</w:t>
      </w:r>
    </w:p>
    <w:p w14:paraId="429897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四、标准中涉及专利的情况</w:t>
      </w:r>
    </w:p>
    <w:p w14:paraId="1BBFDA77">
      <w:pPr>
        <w:keepNext w:val="0"/>
        <w:keepLines w:val="0"/>
        <w:pageBreakBefore w:val="0"/>
        <w:widowControl w:val="0"/>
        <w:tabs>
          <w:tab w:val="left" w:pos="1446"/>
        </w:tabs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20" w:firstLineChars="200"/>
        <w:textAlignment w:val="auto"/>
        <w:rPr>
          <w:rFonts w:ascii="宋体" w:hAnsi="宋体"/>
        </w:rPr>
      </w:pPr>
      <w:r>
        <w:rPr>
          <w:rFonts w:hint="eastAsia" w:ascii="宋体" w:hAnsi="宋体"/>
        </w:rPr>
        <w:t>本标准不涉及专利问题。</w:t>
      </w:r>
    </w:p>
    <w:p w14:paraId="5AEB5B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textAlignment w:val="auto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五、预期达到的社会效益、对产业发展的作用等情况</w:t>
      </w:r>
    </w:p>
    <w:p w14:paraId="1A12B8E8">
      <w:pPr>
        <w:keepNext w:val="0"/>
        <w:keepLines w:val="0"/>
        <w:pageBreakBefore w:val="0"/>
        <w:widowControl w:val="0"/>
        <w:tabs>
          <w:tab w:val="left" w:pos="144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/>
        <w:textAlignment w:val="auto"/>
        <w:rPr>
          <w:rFonts w:hint="eastAsia" w:ascii="宋体" w:hAnsi="宋体"/>
          <w:color w:val="FF0000"/>
          <w:lang w:val="en-US" w:eastAsia="zh-CN"/>
        </w:rPr>
      </w:pPr>
      <w:r>
        <w:rPr>
          <w:rFonts w:hint="eastAsia" w:ascii="宋体" w:hAnsi="宋体" w:eastAsia="宋体" w:cs="宋体"/>
          <w:color w:val="auto"/>
        </w:rPr>
        <w:t xml:space="preserve">JB/T </w:t>
      </w:r>
      <w:r>
        <w:rPr>
          <w:rFonts w:hint="eastAsia" w:ascii="宋体" w:hAnsi="宋体" w:cs="宋体"/>
          <w:color w:val="auto"/>
          <w:lang w:val="en-US" w:eastAsia="zh-CN"/>
        </w:rPr>
        <w:t>12108</w:t>
      </w:r>
      <w:r>
        <w:rPr>
          <w:rFonts w:hint="eastAsia" w:ascii="宋体" w:hAnsi="宋体" w:eastAsia="宋体" w:cs="宋体"/>
          <w:color w:val="auto"/>
        </w:rPr>
        <w:t>-201</w:t>
      </w:r>
      <w:r>
        <w:rPr>
          <w:rFonts w:hint="eastAsia" w:ascii="宋体" w:hAnsi="宋体" w:cs="宋体"/>
          <w:color w:val="auto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</w:rPr>
        <w:t>已实施</w:t>
      </w:r>
      <w:r>
        <w:rPr>
          <w:rFonts w:hint="eastAsia" w:ascii="宋体" w:hAnsi="宋体" w:eastAsia="宋体" w:cs="宋体"/>
          <w:color w:val="auto"/>
          <w:lang w:val="en-US" w:eastAsia="zh-CN"/>
        </w:rPr>
        <w:t>十</w:t>
      </w:r>
      <w:r>
        <w:rPr>
          <w:rFonts w:hint="eastAsia" w:ascii="宋体" w:hAnsi="宋体" w:eastAsia="宋体" w:cs="宋体"/>
          <w:color w:val="auto"/>
        </w:rPr>
        <w:t>年，随着原有技术的快速迭代升级以及新应用技术的出现，多媒体数字投影球系统也随着技术的进步与发展进行了升级、创新，其性能、功能均得到了快速提升，如产品的显示分辨率均已在2K及以上、加入了触摸互动功能等，而JB∕T 12108-2015没有对触摸互动技术进行相关规范，对于产品显示分辨率的要求较低，已不再适用于当前的新型产品，不能为产业高质量发展提供有效的技术支撑。该标准是目前国内最具全面、系统评价</w:t>
      </w:r>
      <w:r>
        <w:rPr>
          <w:rFonts w:hint="eastAsia" w:ascii="宋体" w:hAnsi="宋体" w:cs="宋体"/>
          <w:color w:val="auto"/>
          <w:lang w:val="en-US" w:eastAsia="zh-CN"/>
        </w:rPr>
        <w:t>多媒体数字投影球系统</w:t>
      </w:r>
      <w:r>
        <w:rPr>
          <w:rFonts w:hint="eastAsia" w:ascii="宋体" w:hAnsi="宋体" w:eastAsia="宋体" w:cs="宋体"/>
          <w:color w:val="auto"/>
        </w:rPr>
        <w:t>的准则，根据</w:t>
      </w:r>
      <w:r>
        <w:rPr>
          <w:rFonts w:hint="eastAsia" w:ascii="宋体" w:hAnsi="宋体" w:cs="宋体"/>
          <w:color w:val="auto"/>
          <w:lang w:val="en-US" w:eastAsia="zh-CN"/>
        </w:rPr>
        <w:t>多媒体数字投影球系统</w:t>
      </w:r>
      <w:r>
        <w:rPr>
          <w:rFonts w:hint="eastAsia" w:ascii="宋体" w:hAnsi="宋体" w:eastAsia="宋体" w:cs="宋体"/>
          <w:color w:val="auto"/>
        </w:rPr>
        <w:t>技术发展需求及时修订该标准以满足当前</w:t>
      </w:r>
      <w:r>
        <w:rPr>
          <w:rFonts w:hint="eastAsia" w:ascii="宋体" w:hAnsi="宋体" w:cs="宋体"/>
          <w:color w:val="auto"/>
          <w:lang w:val="en-US" w:eastAsia="zh-CN"/>
        </w:rPr>
        <w:t>多媒体数字投影球系统</w:t>
      </w:r>
      <w:r>
        <w:rPr>
          <w:rFonts w:hint="eastAsia" w:ascii="宋体" w:hAnsi="宋体" w:eastAsia="宋体" w:cs="宋体"/>
          <w:color w:val="auto"/>
        </w:rPr>
        <w:t>新技术的发展和市场需要。</w:t>
      </w:r>
      <w:r>
        <w:rPr>
          <w:rFonts w:hint="eastAsia" w:ascii="宋体" w:hAnsi="宋体" w:cs="宋体"/>
          <w:color w:val="auto"/>
          <w:lang w:val="en-US" w:eastAsia="zh-CN"/>
        </w:rPr>
        <w:t>多媒体</w:t>
      </w:r>
      <w:r>
        <w:rPr>
          <w:rFonts w:hint="eastAsia" w:ascii="宋体" w:hAnsi="宋体" w:eastAsia="宋体" w:cs="宋体"/>
          <w:color w:val="auto"/>
        </w:rPr>
        <w:t>技术的飞速发展推动了</w:t>
      </w:r>
      <w:r>
        <w:rPr>
          <w:rFonts w:hint="eastAsia" w:ascii="宋体" w:hAnsi="宋体" w:cs="宋体"/>
          <w:color w:val="auto"/>
          <w:lang w:val="en-US" w:eastAsia="zh-CN"/>
        </w:rPr>
        <w:t>多媒体数字投影球系统</w:t>
      </w:r>
      <w:r>
        <w:rPr>
          <w:rFonts w:hint="eastAsia" w:ascii="宋体" w:hAnsi="宋体" w:eastAsia="宋体" w:cs="宋体"/>
          <w:color w:val="auto"/>
        </w:rPr>
        <w:t>标准的不断完善，使我国在国内外</w:t>
      </w:r>
      <w:r>
        <w:rPr>
          <w:rFonts w:hint="eastAsia" w:ascii="宋体" w:hAnsi="宋体" w:cs="宋体"/>
          <w:color w:val="auto"/>
          <w:lang w:val="en-US" w:eastAsia="zh-CN"/>
        </w:rPr>
        <w:t>多媒体数字投影球系统</w:t>
      </w:r>
      <w:r>
        <w:rPr>
          <w:rFonts w:hint="eastAsia" w:ascii="宋体" w:hAnsi="宋体" w:eastAsia="宋体" w:cs="宋体"/>
          <w:color w:val="auto"/>
        </w:rPr>
        <w:t>产业持续保持标准及市场的领导地位，将更加有利于提高</w:t>
      </w:r>
      <w:r>
        <w:rPr>
          <w:rFonts w:hint="eastAsia" w:ascii="宋体" w:hAnsi="宋体" w:cs="宋体"/>
          <w:color w:val="auto"/>
          <w:lang w:val="en-US" w:eastAsia="zh-CN"/>
        </w:rPr>
        <w:t>多媒体数字投影球系统</w:t>
      </w:r>
      <w:r>
        <w:rPr>
          <w:rFonts w:hint="eastAsia" w:ascii="宋体" w:hAnsi="宋体" w:eastAsia="宋体" w:cs="宋体"/>
          <w:color w:val="auto"/>
        </w:rPr>
        <w:t>产品的质量水平及出口</w:t>
      </w:r>
      <w:r>
        <w:rPr>
          <w:rFonts w:hint="eastAsia" w:ascii="宋体" w:hAnsi="宋体"/>
          <w:color w:val="auto"/>
          <w:lang w:val="en-US" w:eastAsia="zh-CN"/>
        </w:rPr>
        <w:t>。</w:t>
      </w:r>
    </w:p>
    <w:p w14:paraId="22F88EFA">
      <w:pPr>
        <w:keepNext w:val="0"/>
        <w:keepLines w:val="0"/>
        <w:pageBreakBefore w:val="0"/>
        <w:widowControl w:val="0"/>
        <w:tabs>
          <w:tab w:val="left" w:pos="144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/>
        <w:textAlignment w:val="auto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六、与国际、国外对比情况</w:t>
      </w:r>
    </w:p>
    <w:p w14:paraId="69B9466C">
      <w:pPr>
        <w:keepNext w:val="0"/>
        <w:keepLines w:val="0"/>
        <w:pageBreakBefore w:val="0"/>
        <w:widowControl w:val="0"/>
        <w:tabs>
          <w:tab w:val="left" w:pos="144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/>
        <w:textAlignment w:val="auto"/>
        <w:rPr>
          <w:rFonts w:ascii="宋体" w:hAnsi="宋体"/>
        </w:rPr>
      </w:pPr>
      <w:r>
        <w:rPr>
          <w:rFonts w:hint="eastAsia" w:ascii="宋体" w:hAnsi="宋体"/>
        </w:rPr>
        <w:t>本标准没有采用国际标准。</w:t>
      </w:r>
    </w:p>
    <w:p w14:paraId="6F4BC7D0">
      <w:pPr>
        <w:keepNext w:val="0"/>
        <w:keepLines w:val="0"/>
        <w:pageBreakBefore w:val="0"/>
        <w:widowControl w:val="0"/>
        <w:tabs>
          <w:tab w:val="left" w:pos="144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/>
        <w:textAlignment w:val="auto"/>
        <w:rPr>
          <w:rFonts w:ascii="宋体" w:hAnsi="宋体"/>
        </w:rPr>
      </w:pPr>
      <w:r>
        <w:rPr>
          <w:rFonts w:hint="eastAsia" w:ascii="宋体" w:hAnsi="宋体"/>
        </w:rPr>
        <w:t>本标准</w:t>
      </w:r>
      <w:r>
        <w:rPr>
          <w:rFonts w:hint="eastAsia" w:ascii="宋体" w:hAnsi="宋体"/>
          <w:lang w:val="en-US" w:eastAsia="zh-CN"/>
        </w:rPr>
        <w:t>修订</w:t>
      </w:r>
      <w:r>
        <w:rPr>
          <w:rFonts w:hint="eastAsia" w:ascii="宋体" w:hAnsi="宋体"/>
        </w:rPr>
        <w:t>过程中未查到同类国际、国外标准。</w:t>
      </w:r>
    </w:p>
    <w:p w14:paraId="575C8681">
      <w:pPr>
        <w:keepNext w:val="0"/>
        <w:keepLines w:val="0"/>
        <w:pageBreakBefore w:val="0"/>
        <w:widowControl w:val="0"/>
        <w:tabs>
          <w:tab w:val="left" w:pos="144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/>
        <w:textAlignment w:val="auto"/>
        <w:rPr>
          <w:rFonts w:ascii="宋体" w:hAnsi="宋体"/>
        </w:rPr>
      </w:pPr>
      <w:r>
        <w:rPr>
          <w:rFonts w:hint="eastAsia" w:ascii="宋体" w:hAnsi="宋体"/>
        </w:rPr>
        <w:t>本标准</w:t>
      </w:r>
      <w:r>
        <w:rPr>
          <w:rFonts w:hint="eastAsia" w:ascii="宋体" w:hAnsi="宋体"/>
          <w:lang w:val="en-US" w:eastAsia="zh-CN"/>
        </w:rPr>
        <w:t>修订</w:t>
      </w:r>
      <w:r>
        <w:rPr>
          <w:rFonts w:hint="eastAsia" w:ascii="宋体" w:hAnsi="宋体"/>
        </w:rPr>
        <w:t>过程中未测试国外的样品、样机。</w:t>
      </w:r>
    </w:p>
    <w:p w14:paraId="4429AD6A">
      <w:pPr>
        <w:keepNext w:val="0"/>
        <w:keepLines w:val="0"/>
        <w:pageBreakBefore w:val="0"/>
        <w:widowControl w:val="0"/>
        <w:tabs>
          <w:tab w:val="left" w:pos="144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/>
        <w:textAlignment w:val="auto"/>
        <w:rPr>
          <w:rFonts w:ascii="宋体" w:hAnsi="宋体"/>
        </w:rPr>
      </w:pPr>
      <w:r>
        <w:rPr>
          <w:rFonts w:hint="eastAsia" w:ascii="宋体" w:hAnsi="宋体"/>
        </w:rPr>
        <w:t>本标准水平为国内先进水平。</w:t>
      </w:r>
    </w:p>
    <w:p w14:paraId="4837AEDB">
      <w:pPr>
        <w:keepNext w:val="0"/>
        <w:keepLines w:val="0"/>
        <w:pageBreakBefore w:val="0"/>
        <w:widowControl w:val="0"/>
        <w:tabs>
          <w:tab w:val="left" w:pos="144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七、</w:t>
      </w:r>
      <w:r>
        <w:rPr>
          <w:rFonts w:hint="eastAsia" w:ascii="黑体" w:hAnsi="黑体" w:eastAsia="黑体"/>
          <w:spacing w:val="-6"/>
          <w:sz w:val="21"/>
        </w:rPr>
        <w:t>在标准体系中的位置，与现行相关法律、法规、规章及相关标准，特别是强制性标准的协调性</w:t>
      </w:r>
    </w:p>
    <w:p w14:paraId="7664D2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宋体" w:hAnsi="宋体" w:eastAsia="宋体" w:cs="Times New Roman"/>
          <w:color w:val="auto"/>
        </w:rPr>
      </w:pPr>
      <w:r>
        <w:rPr>
          <w:rFonts w:hint="eastAsia" w:ascii="宋体" w:hAnsi="宋体" w:eastAsia="宋体" w:cs="Times New Roman"/>
          <w:color w:val="auto"/>
          <w:lang w:eastAsia="zh-CN"/>
        </w:rPr>
        <w:t>本项目属电教机械标准体系第二层“</w:t>
      </w:r>
      <w:r>
        <w:rPr>
          <w:rFonts w:hint="eastAsia" w:ascii="宋体" w:hAnsi="宋体" w:eastAsia="宋体" w:cs="Times New Roman"/>
          <w:color w:val="auto"/>
          <w:lang w:val="en-US" w:eastAsia="zh-CN"/>
        </w:rPr>
        <w:t>投影设备</w:t>
      </w:r>
      <w:r>
        <w:rPr>
          <w:rFonts w:hint="eastAsia" w:ascii="宋体" w:hAnsi="宋体" w:eastAsia="宋体" w:cs="Times New Roman"/>
          <w:color w:val="auto"/>
          <w:lang w:eastAsia="zh-CN"/>
        </w:rPr>
        <w:t>”大类。</w:t>
      </w:r>
    </w:p>
    <w:p w14:paraId="14573F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ascii="宋体" w:hAnsi="宋体"/>
          <w:color w:val="auto"/>
        </w:rPr>
      </w:pPr>
      <w:r>
        <w:rPr>
          <w:rFonts w:hint="eastAsia" w:ascii="宋体" w:hAnsi="宋体"/>
          <w:color w:val="auto"/>
        </w:rPr>
        <w:t>本标准与现行相关法律、法规、规章</w:t>
      </w:r>
      <w:r>
        <w:rPr>
          <w:rFonts w:hint="eastAsia" w:ascii="宋体" w:hAnsi="宋体" w:cs="宋体"/>
          <w:color w:val="auto"/>
          <w:kern w:val="0"/>
        </w:rPr>
        <w:t>及相关标准</w:t>
      </w:r>
      <w:r>
        <w:rPr>
          <w:rFonts w:hint="eastAsia" w:ascii="宋体" w:hAnsi="宋体"/>
          <w:color w:val="auto"/>
        </w:rPr>
        <w:t>协调一致。</w:t>
      </w:r>
    </w:p>
    <w:p w14:paraId="68828A50">
      <w:pPr>
        <w:keepNext w:val="0"/>
        <w:keepLines w:val="0"/>
        <w:pageBreakBefore w:val="0"/>
        <w:widowControl w:val="0"/>
        <w:tabs>
          <w:tab w:val="left" w:pos="438"/>
          <w:tab w:val="left" w:pos="6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黑体" w:hAnsi="宋体" w:eastAsia="黑体"/>
        </w:rPr>
      </w:pPr>
      <w:r>
        <w:rPr>
          <w:rFonts w:hint="eastAsia" w:ascii="黑体" w:hAnsi="宋体" w:eastAsia="黑体"/>
        </w:rPr>
        <w:t>八、重大分歧意见的处理经过和依据</w:t>
      </w:r>
    </w:p>
    <w:p w14:paraId="41F3A194">
      <w:pPr>
        <w:keepNext w:val="0"/>
        <w:keepLines w:val="0"/>
        <w:pageBreakBefore w:val="0"/>
        <w:widowControl w:val="0"/>
        <w:tabs>
          <w:tab w:val="left" w:pos="438"/>
          <w:tab w:val="left" w:pos="6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无。</w:t>
      </w:r>
    </w:p>
    <w:p w14:paraId="422A1B43">
      <w:pPr>
        <w:keepNext w:val="0"/>
        <w:keepLines w:val="0"/>
        <w:pageBreakBefore w:val="0"/>
        <w:widowControl w:val="0"/>
        <w:tabs>
          <w:tab w:val="left" w:pos="438"/>
          <w:tab w:val="left" w:pos="6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黑体" w:hAnsi="宋体" w:eastAsia="黑体"/>
        </w:rPr>
      </w:pPr>
      <w:r>
        <w:rPr>
          <w:rFonts w:hint="eastAsia" w:ascii="黑体" w:hAnsi="宋体" w:eastAsia="黑体"/>
          <w:szCs w:val="21"/>
        </w:rPr>
        <w:t>九、</w:t>
      </w:r>
      <w:r>
        <w:rPr>
          <w:rFonts w:hint="eastAsia" w:ascii="黑体" w:hAnsi="宋体" w:eastAsia="黑体"/>
        </w:rPr>
        <w:t>标准性质的建议说明</w:t>
      </w:r>
    </w:p>
    <w:p w14:paraId="767CA82B">
      <w:pPr>
        <w:keepNext w:val="0"/>
        <w:keepLines w:val="0"/>
        <w:pageBreakBefore w:val="0"/>
        <w:widowControl w:val="0"/>
        <w:tabs>
          <w:tab w:val="left" w:pos="6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建议本标准的性质为推荐性行业标准。</w:t>
      </w:r>
    </w:p>
    <w:p w14:paraId="5B2975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黑体" w:hAnsi="宋体" w:eastAsia="黑体"/>
          <w:szCs w:val="21"/>
        </w:rPr>
      </w:pPr>
      <w:r>
        <w:rPr>
          <w:rFonts w:hint="eastAsia" w:ascii="黑体" w:hAnsi="宋体" w:eastAsia="黑体"/>
          <w:szCs w:val="21"/>
        </w:rPr>
        <w:t>十、贯彻标准的要求和措施建议</w:t>
      </w:r>
    </w:p>
    <w:p w14:paraId="64ED48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建议本标准批准发布6个月后实施。在实施前应保证文本的充足供应，让本标准的相关方及时得到文本；发布后、实施前建议将本标准的相关信息在媒体上广为宣传；建议由机械工业电影</w:t>
      </w:r>
    </w:p>
    <w:p w14:paraId="284C0F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0" w:firstLineChars="0"/>
        <w:textAlignment w:val="auto"/>
        <w:rPr>
          <w:rFonts w:hint="eastAsia" w:ascii="黑体" w:hAnsi="宋体" w:eastAsia="黑体"/>
          <w:szCs w:val="21"/>
        </w:rPr>
      </w:pPr>
      <w:r>
        <w:rPr>
          <w:rFonts w:hint="eastAsia" w:ascii="宋体" w:hAnsi="宋体" w:eastAsia="宋体" w:cs="宋体"/>
          <w:szCs w:val="21"/>
        </w:rPr>
        <w:t>电教标委会组织线下宣贯、培训及实施；建议质量检查监督部门加强对该标准的执行情况的监测。企业可按照行业标准的规定和要求制定企业标准。</w:t>
      </w:r>
    </w:p>
    <w:p w14:paraId="27F264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黑体" w:hAnsi="宋体" w:eastAsia="黑体"/>
          <w:szCs w:val="21"/>
        </w:rPr>
      </w:pPr>
      <w:r>
        <w:rPr>
          <w:rFonts w:hint="eastAsia" w:ascii="黑体" w:hAnsi="宋体" w:eastAsia="黑体"/>
          <w:szCs w:val="21"/>
        </w:rPr>
        <w:t>十一、废止现行相关标准的建议</w:t>
      </w:r>
    </w:p>
    <w:p w14:paraId="00370F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宋体" w:hAnsi="宋体" w:eastAsia="宋体" w:cs="宋体"/>
          <w:strike w:val="0"/>
          <w:dstrike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Cs w:val="21"/>
        </w:rPr>
        <w:t>本标准</w:t>
      </w:r>
      <w:r>
        <w:rPr>
          <w:rFonts w:hint="eastAsia" w:ascii="宋体" w:hAnsi="宋体" w:eastAsia="宋体" w:cs="宋体"/>
          <w:color w:val="auto"/>
          <w:szCs w:val="21"/>
          <w:lang w:val="en-US" w:eastAsia="zh-CN"/>
        </w:rPr>
        <w:t>实施时，</w:t>
      </w:r>
      <w:r>
        <w:rPr>
          <w:rFonts w:hint="eastAsia" w:ascii="宋体" w:hAnsi="宋体" w:eastAsia="宋体" w:cs="宋体"/>
          <w:color w:val="auto"/>
          <w:szCs w:val="21"/>
        </w:rPr>
        <w:t>代替</w:t>
      </w:r>
      <w:r>
        <w:rPr>
          <w:rFonts w:hint="eastAsia" w:ascii="宋体" w:hAnsi="宋体" w:eastAsia="宋体" w:cs="Times New Roman"/>
          <w:color w:val="auto"/>
        </w:rPr>
        <w:t xml:space="preserve">JB/T </w:t>
      </w:r>
      <w:r>
        <w:rPr>
          <w:rFonts w:hint="eastAsia" w:ascii="宋体" w:hAnsi="宋体" w:cs="Times New Roman"/>
          <w:color w:val="auto"/>
          <w:lang w:val="en-US" w:eastAsia="zh-CN"/>
        </w:rPr>
        <w:t>12108</w:t>
      </w:r>
      <w:r>
        <w:rPr>
          <w:rFonts w:hint="eastAsia" w:ascii="宋体" w:hAnsi="宋体" w:eastAsia="宋体" w:cs="Times New Roman"/>
          <w:color w:val="auto"/>
        </w:rPr>
        <w:t>-201</w:t>
      </w:r>
      <w:r>
        <w:rPr>
          <w:rFonts w:hint="eastAsia" w:ascii="宋体" w:hAnsi="宋体" w:cs="Times New Roman"/>
          <w:color w:val="auto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Cs w:val="21"/>
        </w:rPr>
        <w:t>。在本标准批准发布后，建议废止</w:t>
      </w:r>
      <w:r>
        <w:rPr>
          <w:rFonts w:hint="eastAsia" w:ascii="宋体" w:hAnsi="宋体" w:eastAsia="宋体" w:cs="Times New Roman"/>
          <w:color w:val="auto"/>
        </w:rPr>
        <w:t xml:space="preserve">JB/T </w:t>
      </w:r>
      <w:r>
        <w:rPr>
          <w:rFonts w:hint="eastAsia" w:ascii="宋体" w:hAnsi="宋体" w:cs="Times New Roman"/>
          <w:color w:val="auto"/>
          <w:lang w:val="en-US" w:eastAsia="zh-CN"/>
        </w:rPr>
        <w:t>12108</w:t>
      </w:r>
      <w:r>
        <w:rPr>
          <w:rFonts w:hint="eastAsia" w:ascii="宋体" w:hAnsi="宋体" w:eastAsia="宋体" w:cs="Times New Roman"/>
          <w:color w:val="auto"/>
        </w:rPr>
        <w:t>-20</w:t>
      </w:r>
      <w:r>
        <w:rPr>
          <w:rFonts w:hint="eastAsia" w:ascii="宋体" w:hAnsi="宋体" w:cs="Times New Roman"/>
          <w:color w:val="auto"/>
          <w:lang w:val="en-US" w:eastAsia="zh-CN"/>
        </w:rPr>
        <w:t>15</w:t>
      </w:r>
      <w:r>
        <w:rPr>
          <w:rFonts w:hint="eastAsia" w:ascii="宋体" w:hAnsi="宋体" w:eastAsia="宋体" w:cs="宋体"/>
          <w:color w:val="auto"/>
          <w:szCs w:val="21"/>
        </w:rPr>
        <w:t>。</w:t>
      </w:r>
    </w:p>
    <w:p w14:paraId="3E71D9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黑体" w:hAnsi="宋体" w:eastAsia="黑体"/>
          <w:szCs w:val="21"/>
        </w:rPr>
      </w:pPr>
      <w:r>
        <w:rPr>
          <w:rFonts w:hint="eastAsia" w:ascii="黑体" w:hAnsi="宋体" w:eastAsia="黑体"/>
          <w:szCs w:val="21"/>
        </w:rPr>
        <w:t>十二、其他应予说明的事项</w:t>
      </w:r>
    </w:p>
    <w:p w14:paraId="7AA722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</w:pPr>
      <w:r>
        <w:rPr>
          <w:rFonts w:hint="eastAsia" w:ascii="宋体" w:hAnsi="宋体" w:eastAsia="宋体" w:cs="Times New Roman"/>
          <w:color w:val="auto"/>
          <w:lang w:val="en-US" w:eastAsia="zh-CN"/>
        </w:rPr>
        <w:t>无</w:t>
      </w:r>
      <w:r>
        <w:rPr>
          <w:rFonts w:hint="eastAsia" w:ascii="宋体" w:hAnsi="宋体" w:eastAsia="宋体" w:cs="宋体"/>
          <w:szCs w:val="21"/>
        </w:rPr>
        <w:t>。</w:t>
      </w:r>
    </w:p>
    <w:sectPr>
      <w:pgSz w:w="11906" w:h="16838"/>
      <w:pgMar w:top="1474" w:right="1587" w:bottom="124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mZWIzNDg2MmIzZjExOTIzMmViNTBmYTMwYTk0ZWYifQ=="/>
  </w:docVars>
  <w:rsids>
    <w:rsidRoot w:val="54EB7C75"/>
    <w:rsid w:val="0C050EDC"/>
    <w:rsid w:val="10C855B8"/>
    <w:rsid w:val="177C119B"/>
    <w:rsid w:val="18083C20"/>
    <w:rsid w:val="21442F49"/>
    <w:rsid w:val="25D6438C"/>
    <w:rsid w:val="26AF355A"/>
    <w:rsid w:val="281333B4"/>
    <w:rsid w:val="2A5567CD"/>
    <w:rsid w:val="2AE8703B"/>
    <w:rsid w:val="2DD7169E"/>
    <w:rsid w:val="34D24359"/>
    <w:rsid w:val="35466E38"/>
    <w:rsid w:val="3B6C511E"/>
    <w:rsid w:val="409C0714"/>
    <w:rsid w:val="427E15D6"/>
    <w:rsid w:val="43A63197"/>
    <w:rsid w:val="465313B5"/>
    <w:rsid w:val="486517E7"/>
    <w:rsid w:val="48C939A4"/>
    <w:rsid w:val="48F7696F"/>
    <w:rsid w:val="4FC7696F"/>
    <w:rsid w:val="50125E3D"/>
    <w:rsid w:val="53B51894"/>
    <w:rsid w:val="546528C4"/>
    <w:rsid w:val="54B35714"/>
    <w:rsid w:val="54EB7C75"/>
    <w:rsid w:val="593C01FD"/>
    <w:rsid w:val="5C321615"/>
    <w:rsid w:val="5C757E7F"/>
    <w:rsid w:val="5FC3351E"/>
    <w:rsid w:val="60863BD5"/>
    <w:rsid w:val="62415169"/>
    <w:rsid w:val="626C6E93"/>
    <w:rsid w:val="66A82BFF"/>
    <w:rsid w:val="6AD738C1"/>
    <w:rsid w:val="6B4A24D7"/>
    <w:rsid w:val="71721354"/>
    <w:rsid w:val="792977D9"/>
    <w:rsid w:val="7A220507"/>
    <w:rsid w:val="7DA11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Body Text First Indent"/>
    <w:basedOn w:val="2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2469</Words>
  <Characters>2647</Characters>
  <Lines>0</Lines>
  <Paragraphs>0</Paragraphs>
  <TotalTime>4</TotalTime>
  <ScaleCrop>false</ScaleCrop>
  <LinksUpToDate>false</LinksUpToDate>
  <CharactersWithSpaces>2673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2024-10-05T09:39:00Z</dcterms:created>
  <dc:creator>邓荣武</dc:creator>
  <cp:lastModifiedBy>邓荣武</cp:lastModifiedBy>
  <dcterms:modified xsi:type="dcterms:W3CDTF">2025-06-30T09:44:04Z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EE64A74C8A764303A184EC47686B86BC_13</vt:lpwstr>
  </property>
  <property fmtid="{D5CDD505-2E9C-101B-9397-08002B2CF9AE}" pid="4" name="KSOTemplateDocerSaveRecord">
    <vt:lpwstr>eyJoZGlkIjoiZDA3ZDQwMmNiOWFlYzZjYTcwOWJiZGQ0YTA5ODBmZGUiLCJ1c2VySWQiOiIxMTMyMTAyMzI5In0=</vt:lpwstr>
  </property>
</Properties>
</file>