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59A70A">
      <w:pPr>
        <w:pStyle w:val="2"/>
        <w:spacing w:line="0" w:lineRule="atLeast"/>
        <w:rPr>
          <w:rFonts w:ascii="黑体" w:hAnsi="宋体" w:eastAsia="黑体"/>
          <w:sz w:val="21"/>
          <w:szCs w:val="21"/>
        </w:rPr>
      </w:pPr>
      <w:r>
        <w:rPr>
          <w:rFonts w:hint="eastAsia" w:ascii="黑体" w:hAnsi="宋体" w:eastAsia="黑体"/>
          <w:sz w:val="21"/>
          <w:szCs w:val="21"/>
        </w:rPr>
        <w:t>ICS 35.060.10</w:t>
      </w:r>
    </w:p>
    <w:p w14:paraId="031E9177">
      <w:pPr>
        <w:pStyle w:val="2"/>
        <w:spacing w:line="0" w:lineRule="atLeast"/>
        <w:rPr>
          <w:rFonts w:ascii="黑体" w:hAnsi="宋体" w:eastAsia="黑体"/>
          <w:sz w:val="21"/>
          <w:szCs w:val="21"/>
        </w:rPr>
      </w:pPr>
      <w:r>
        <w:rPr>
          <w:rFonts w:ascii="黑体"/>
          <w:sz w:val="21"/>
        </w:rPr>
        <w:t>CCS</w:t>
      </w:r>
      <w:r>
        <w:rPr>
          <w:rFonts w:hint="eastAsia" w:ascii="黑体"/>
          <w:sz w:val="21"/>
        </w:rPr>
        <w:t xml:space="preserve"> </w:t>
      </w:r>
      <w:r>
        <w:rPr>
          <w:rFonts w:hint="eastAsia" w:ascii="黑体" w:hAnsi="宋体" w:eastAsia="黑体"/>
          <w:sz w:val="21"/>
          <w:szCs w:val="21"/>
        </w:rPr>
        <w:t>N 42</w:t>
      </w:r>
    </w:p>
    <w:p w14:paraId="5FD300A1">
      <w:pPr>
        <w:pStyle w:val="3"/>
        <w:spacing w:line="0" w:lineRule="atLeast"/>
        <w:rPr>
          <w:rFonts w:ascii="宋体" w:hAnsi="宋体"/>
          <w:sz w:val="96"/>
          <w:szCs w:val="96"/>
        </w:rPr>
      </w:pPr>
      <w:r>
        <w:rPr>
          <w:rFonts w:hint="eastAsia" w:ascii="宋体" w:hAnsi="宋体"/>
          <w:sz w:val="96"/>
          <w:szCs w:val="96"/>
        </w:rPr>
        <w:t>JB</w:t>
      </w:r>
    </w:p>
    <w:p w14:paraId="1FBB1D0D">
      <w:pPr>
        <w:jc w:val="center"/>
        <w:rPr>
          <w:rFonts w:ascii="新宋体" w:hAnsi="新宋体" w:eastAsia="新宋体"/>
          <w:b/>
          <w:bCs/>
          <w:spacing w:val="100"/>
          <w:sz w:val="52"/>
          <w:szCs w:val="52"/>
        </w:rPr>
      </w:pPr>
      <w:r>
        <w:rPr>
          <w:rFonts w:hint="eastAsia" w:ascii="新宋体" w:hAnsi="新宋体" w:eastAsia="新宋体"/>
          <w:b/>
          <w:bCs/>
          <w:spacing w:val="100"/>
          <w:sz w:val="52"/>
          <w:szCs w:val="52"/>
        </w:rPr>
        <w:t>中华人民共和国机械行业标准</w:t>
      </w:r>
    </w:p>
    <w:p w14:paraId="341BA4E5">
      <w:pPr>
        <w:pStyle w:val="4"/>
        <w:adjustRightInd w:val="0"/>
        <w:spacing w:beforeLines="50" w:line="0" w:lineRule="atLeast"/>
        <w:rPr>
          <w:rFonts w:ascii="黑体" w:hAnsi="宋体" w:eastAsia="黑体"/>
          <w:sz w:val="28"/>
          <w:szCs w:val="28"/>
        </w:rPr>
      </w:pPr>
      <w:r>
        <w:rPr>
          <w:rFonts w:hint="eastAsia" w:ascii="黑体" w:hAnsi="宋体" w:eastAsia="黑体"/>
          <w:sz w:val="28"/>
          <w:szCs w:val="28"/>
        </w:rPr>
        <w:t>JB/T ××××-××××</w:t>
      </w:r>
    </w:p>
    <w:p w14:paraId="5C084CCB">
      <w:pPr>
        <w:jc w:val="right"/>
        <w:rPr>
          <w:rFonts w:ascii="宋体" w:hAnsi="宋体" w:cs="宋体"/>
          <w:szCs w:val="21"/>
        </w:rPr>
      </w:pPr>
      <w:r>
        <w:rPr>
          <w:rFonts w:hint="eastAsia" w:ascii="宋体" w:hAnsi="宋体" w:cs="宋体"/>
          <w:szCs w:val="21"/>
        </w:rPr>
        <w:t xml:space="preserve">代替 </w:t>
      </w:r>
      <w:r>
        <w:rPr>
          <w:rFonts w:hint="eastAsia" w:ascii="宋体" w:hAnsi="宋体"/>
          <w:szCs w:val="21"/>
        </w:rPr>
        <w:t>JB/T 11849-2018、JB/T 14158-2021</w:t>
      </w:r>
    </w:p>
    <w:p w14:paraId="3513D1E7">
      <w:pPr>
        <w:pBdr>
          <w:bottom w:val="single" w:color="auto" w:sz="6" w:space="1"/>
        </w:pBdr>
        <w:spacing w:line="0" w:lineRule="atLeast"/>
        <w:jc w:val="left"/>
        <w:rPr>
          <w:szCs w:val="21"/>
        </w:rPr>
      </w:pPr>
    </w:p>
    <w:p w14:paraId="2C027E34">
      <w:pPr>
        <w:rPr>
          <w:sz w:val="24"/>
        </w:rPr>
      </w:pPr>
    </w:p>
    <w:p w14:paraId="3035C8C6">
      <w:pPr>
        <w:rPr>
          <w:sz w:val="24"/>
        </w:rPr>
      </w:pPr>
    </w:p>
    <w:p w14:paraId="0805DD1A">
      <w:pPr>
        <w:jc w:val="center"/>
        <w:rPr>
          <w:rFonts w:ascii="黑体" w:eastAsia="黑体"/>
          <w:sz w:val="52"/>
          <w:szCs w:val="52"/>
        </w:rPr>
      </w:pPr>
    </w:p>
    <w:p w14:paraId="2FF1AC3C">
      <w:pPr>
        <w:jc w:val="center"/>
        <w:rPr>
          <w:rFonts w:ascii="黑体" w:eastAsia="黑体"/>
          <w:sz w:val="52"/>
          <w:szCs w:val="52"/>
        </w:rPr>
      </w:pPr>
    </w:p>
    <w:p w14:paraId="22DC317D">
      <w:pPr>
        <w:jc w:val="center"/>
        <w:rPr>
          <w:rFonts w:ascii="黑体" w:eastAsia="黑体"/>
          <w:sz w:val="52"/>
          <w:szCs w:val="52"/>
        </w:rPr>
      </w:pPr>
    </w:p>
    <w:p w14:paraId="29E1A05A">
      <w:pPr>
        <w:jc w:val="center"/>
        <w:rPr>
          <w:rFonts w:ascii="黑体" w:eastAsia="黑体"/>
          <w:sz w:val="52"/>
          <w:szCs w:val="52"/>
        </w:rPr>
      </w:pPr>
      <w:r>
        <w:rPr>
          <w:rFonts w:hint="eastAsia" w:ascii="黑体" w:eastAsia="黑体"/>
          <w:sz w:val="52"/>
          <w:szCs w:val="52"/>
        </w:rPr>
        <w:t>电影放映银幕架系统</w:t>
      </w:r>
    </w:p>
    <w:p w14:paraId="1B7F4BD5">
      <w:pPr>
        <w:jc w:val="center"/>
        <w:rPr>
          <w:rFonts w:ascii="黑体" w:eastAsia="黑体"/>
          <w:bCs/>
          <w:sz w:val="28"/>
          <w:szCs w:val="28"/>
        </w:rPr>
      </w:pPr>
      <w:r>
        <w:rPr>
          <w:rFonts w:ascii="黑体" w:eastAsia="黑体"/>
          <w:bCs/>
          <w:sz w:val="28"/>
          <w:szCs w:val="28"/>
        </w:rPr>
        <w:t>The screen frame</w:t>
      </w:r>
      <w:r>
        <w:rPr>
          <w:rFonts w:hint="eastAsia" w:ascii="黑体" w:eastAsia="黑体"/>
          <w:bCs/>
          <w:sz w:val="28"/>
          <w:szCs w:val="28"/>
        </w:rPr>
        <w:t>s</w:t>
      </w:r>
      <w:r>
        <w:rPr>
          <w:rFonts w:ascii="黑体" w:eastAsia="黑体"/>
          <w:bCs/>
          <w:sz w:val="28"/>
          <w:szCs w:val="28"/>
        </w:rPr>
        <w:t xml:space="preserve"> system for movie theater</w:t>
      </w:r>
    </w:p>
    <w:p w14:paraId="76C1CB6E">
      <w:pPr>
        <w:jc w:val="center"/>
        <w:rPr>
          <w:rFonts w:hint="eastAsia" w:ascii="Times New Roman" w:hAnsi="Times New Roman" w:eastAsia="宋体" w:cs="Times New Roman"/>
          <w:sz w:val="28"/>
          <w:lang w:eastAsia="zh-CN"/>
        </w:rPr>
      </w:pPr>
      <w:r>
        <w:rPr>
          <w:rFonts w:hint="eastAsia" w:ascii="宋体" w:hAnsi="宋体" w:eastAsia="宋体" w:cs="宋体"/>
          <w:sz w:val="28"/>
          <w:lang w:eastAsia="zh-CN"/>
        </w:rPr>
        <w:t>(</w:t>
      </w:r>
      <w:r>
        <w:rPr>
          <w:rFonts w:hint="eastAsia" w:ascii="宋体" w:hAnsi="宋体" w:eastAsia="宋体" w:cs="宋体"/>
          <w:sz w:val="28"/>
          <w:lang w:val="en-US" w:eastAsia="zh-CN"/>
        </w:rPr>
        <w:t>征求意见稿</w:t>
      </w:r>
      <w:r>
        <w:rPr>
          <w:rFonts w:hint="eastAsia" w:ascii="宋体" w:hAnsi="宋体" w:eastAsia="宋体" w:cs="宋体"/>
          <w:sz w:val="28"/>
          <w:lang w:eastAsia="zh-CN"/>
        </w:rPr>
        <w:t>)</w:t>
      </w:r>
    </w:p>
    <w:p w14:paraId="6F6474B7">
      <w:pPr>
        <w:jc w:val="center"/>
        <w:rPr>
          <w:rFonts w:hint="eastAsia" w:ascii="宋体" w:hAnsi="宋体" w:eastAsia="宋体" w:cs="Times New Roman"/>
          <w:sz w:val="28"/>
          <w:szCs w:val="28"/>
        </w:rPr>
      </w:pPr>
      <w:r>
        <w:rPr>
          <w:rFonts w:hint="eastAsia" w:ascii="宋体" w:hAnsi="宋体" w:eastAsia="宋体" w:cs="Times New Roman"/>
          <w:sz w:val="28"/>
          <w:szCs w:val="28"/>
        </w:rPr>
        <w:t>“在提交反馈意见时，请将您知道的相关专利连同支持性文件一并附上。”</w:t>
      </w:r>
    </w:p>
    <w:p w14:paraId="4EB6E823">
      <w:pPr>
        <w:jc w:val="center"/>
        <w:rPr>
          <w:sz w:val="32"/>
        </w:rPr>
      </w:pPr>
      <w:r>
        <w:rPr>
          <w:rFonts w:hint="eastAsia" w:ascii="宋体" w:hAnsi="宋体" w:eastAsia="宋体" w:cs="Times New Roman"/>
          <w:color w:val="auto"/>
          <w:sz w:val="28"/>
          <w:szCs w:val="28"/>
        </w:rPr>
        <w:t>征求意见截止日期：202</w:t>
      </w:r>
      <w:r>
        <w:rPr>
          <w:rFonts w:hint="eastAsia" w:ascii="宋体" w:hAnsi="宋体" w:eastAsia="宋体" w:cs="Times New Roman"/>
          <w:color w:val="auto"/>
          <w:sz w:val="28"/>
          <w:szCs w:val="28"/>
          <w:lang w:val="en-US" w:eastAsia="zh-CN"/>
        </w:rPr>
        <w:t>5</w:t>
      </w:r>
      <w:r>
        <w:rPr>
          <w:rFonts w:hint="eastAsia" w:ascii="宋体" w:hAnsi="宋体" w:eastAsia="宋体" w:cs="Times New Roman"/>
          <w:color w:val="auto"/>
          <w:sz w:val="28"/>
          <w:szCs w:val="28"/>
        </w:rPr>
        <w:t>-0</w:t>
      </w:r>
      <w:r>
        <w:rPr>
          <w:rFonts w:hint="eastAsia" w:ascii="宋体" w:hAnsi="宋体" w:eastAsia="宋体" w:cs="Times New Roman"/>
          <w:color w:val="auto"/>
          <w:sz w:val="28"/>
          <w:szCs w:val="28"/>
          <w:lang w:val="en-US" w:eastAsia="zh-CN"/>
        </w:rPr>
        <w:t>9</w:t>
      </w:r>
      <w:r>
        <w:rPr>
          <w:rFonts w:hint="eastAsia" w:ascii="宋体" w:hAnsi="宋体" w:eastAsia="宋体" w:cs="Times New Roman"/>
          <w:color w:val="auto"/>
          <w:sz w:val="28"/>
          <w:szCs w:val="28"/>
        </w:rPr>
        <w:t>-</w:t>
      </w:r>
      <w:r>
        <w:rPr>
          <w:rFonts w:hint="eastAsia" w:ascii="宋体" w:hAnsi="宋体" w:eastAsia="宋体" w:cs="Times New Roman"/>
          <w:color w:val="auto"/>
          <w:sz w:val="28"/>
          <w:szCs w:val="28"/>
          <w:lang w:val="en-US" w:eastAsia="zh-CN"/>
        </w:rPr>
        <w:t>05</w:t>
      </w:r>
    </w:p>
    <w:p w14:paraId="262AC895">
      <w:pPr>
        <w:ind w:firstLine="1156" w:firstLineChars="400"/>
        <w:rPr>
          <w:rFonts w:ascii="宋体" w:hAnsi="宋体"/>
          <w:sz w:val="28"/>
          <w:szCs w:val="28"/>
        </w:rPr>
      </w:pPr>
    </w:p>
    <w:p w14:paraId="0DEBE2D8">
      <w:pPr>
        <w:ind w:firstLine="1156" w:firstLineChars="400"/>
        <w:rPr>
          <w:rFonts w:ascii="宋体" w:hAnsi="宋体"/>
          <w:sz w:val="28"/>
          <w:szCs w:val="28"/>
        </w:rPr>
      </w:pPr>
    </w:p>
    <w:p w14:paraId="465DB556">
      <w:pPr>
        <w:rPr>
          <w:sz w:val="32"/>
        </w:rPr>
      </w:pPr>
    </w:p>
    <w:p w14:paraId="15134E20">
      <w:pPr>
        <w:ind w:firstLine="2078" w:firstLineChars="393"/>
        <w:rPr>
          <w:sz w:val="52"/>
          <w:szCs w:val="52"/>
        </w:rPr>
      </w:pPr>
      <w:r>
        <w:rPr>
          <w:rFonts w:hint="eastAsia"/>
          <w:sz w:val="52"/>
          <w:szCs w:val="52"/>
        </w:rPr>
        <w:t xml:space="preserve">   </w:t>
      </w:r>
    </w:p>
    <w:p w14:paraId="0E859938">
      <w:pPr>
        <w:rPr>
          <w:rFonts w:ascii="黑体" w:eastAsia="黑体"/>
          <w:sz w:val="52"/>
          <w:szCs w:val="52"/>
        </w:rPr>
      </w:pPr>
    </w:p>
    <w:p w14:paraId="5FC31159">
      <w:pPr>
        <w:pBdr>
          <w:bottom w:val="single" w:color="auto" w:sz="6" w:space="1"/>
        </w:pBdr>
        <w:spacing w:line="400" w:lineRule="exact"/>
        <w:rPr>
          <w:rFonts w:ascii="黑体" w:eastAsia="黑体"/>
          <w:sz w:val="28"/>
        </w:rPr>
      </w:pPr>
      <w:r>
        <w:rPr>
          <w:rFonts w:hint="eastAsia" w:ascii="黑体" w:eastAsia="黑体"/>
          <w:sz w:val="28"/>
          <w:szCs w:val="28"/>
        </w:rPr>
        <w:t>××××</w:t>
      </w:r>
      <w:r>
        <w:rPr>
          <w:rFonts w:hint="eastAsia" w:ascii="黑体" w:eastAsia="黑体"/>
          <w:sz w:val="28"/>
        </w:rPr>
        <w:t xml:space="preserve">-××-××发布                      </w:t>
      </w:r>
      <w:r>
        <w:rPr>
          <w:rFonts w:hint="eastAsia" w:ascii="黑体" w:eastAsia="黑体"/>
          <w:sz w:val="28"/>
          <w:szCs w:val="28"/>
        </w:rPr>
        <w:t>××××</w:t>
      </w:r>
      <w:r>
        <w:rPr>
          <w:rFonts w:hint="eastAsia" w:ascii="黑体" w:eastAsia="黑体"/>
          <w:sz w:val="28"/>
        </w:rPr>
        <w:t>-××-××实施</w:t>
      </w:r>
    </w:p>
    <w:p w14:paraId="1574D98C">
      <w:pPr>
        <w:jc w:val="center"/>
        <w:rPr>
          <w:rFonts w:ascii="新宋体" w:hAnsi="新宋体" w:eastAsia="新宋体"/>
          <w:sz w:val="36"/>
          <w:szCs w:val="36"/>
        </w:rPr>
      </w:pPr>
      <w:r>
        <w:rPr>
          <w:rFonts w:hint="eastAsia" w:ascii="黑体" w:hAnsi="黑体" w:eastAsia="黑体" w:cs="黑体"/>
          <w:sz w:val="36"/>
          <w:szCs w:val="36"/>
        </w:rPr>
        <w:t xml:space="preserve">中华人民共和国工业和信息化部 </w:t>
      </w:r>
      <w:r>
        <w:rPr>
          <w:rFonts w:hint="eastAsia" w:ascii="新宋体" w:hAnsi="新宋体" w:eastAsia="新宋体"/>
          <w:sz w:val="36"/>
          <w:szCs w:val="36"/>
        </w:rPr>
        <w:t xml:space="preserve"> </w:t>
      </w:r>
      <w:r>
        <w:rPr>
          <w:rFonts w:hint="eastAsia" w:ascii="黑体" w:hAnsi="新宋体" w:eastAsia="黑体"/>
          <w:sz w:val="28"/>
          <w:szCs w:val="28"/>
        </w:rPr>
        <w:t>发布</w:t>
      </w:r>
    </w:p>
    <w:p w14:paraId="40E23A20">
      <w:pPr>
        <w:jc w:val="right"/>
        <w:rPr>
          <w:rFonts w:ascii="黑体" w:hAnsi="宋体" w:eastAsia="黑体"/>
          <w:szCs w:val="21"/>
        </w:rPr>
      </w:pPr>
      <w:r>
        <w:rPr>
          <w:sz w:val="24"/>
        </w:rPr>
        <w:br w:type="page"/>
      </w:r>
      <w:r>
        <w:rPr>
          <w:rFonts w:hint="eastAsia" w:ascii="黑体" w:hAnsi="宋体" w:eastAsia="黑体"/>
          <w:szCs w:val="21"/>
        </w:rPr>
        <w:t>JB/T ××××-××××</w:t>
      </w:r>
    </w:p>
    <w:p w14:paraId="33833AF4">
      <w:pPr>
        <w:jc w:val="right"/>
        <w:rPr>
          <w:szCs w:val="21"/>
        </w:rPr>
      </w:pPr>
    </w:p>
    <w:p w14:paraId="56EA0A07">
      <w:pPr>
        <w:jc w:val="center"/>
        <w:rPr>
          <w:rFonts w:eastAsia="黑体"/>
          <w:sz w:val="32"/>
          <w:szCs w:val="32"/>
        </w:rPr>
      </w:pPr>
      <w:r>
        <w:rPr>
          <w:rFonts w:hint="eastAsia" w:eastAsia="黑体"/>
          <w:sz w:val="32"/>
          <w:szCs w:val="32"/>
        </w:rPr>
        <w:t>前  言</w:t>
      </w:r>
    </w:p>
    <w:p w14:paraId="47D8603C">
      <w:pPr>
        <w:autoSpaceDE w:val="0"/>
        <w:autoSpaceDN w:val="0"/>
        <w:adjustRightInd w:val="0"/>
        <w:ind w:firstLine="438" w:firstLineChars="200"/>
        <w:jc w:val="left"/>
        <w:rPr>
          <w:rFonts w:ascii="宋体" w:hAnsi="宋体"/>
          <w:kern w:val="0"/>
        </w:rPr>
      </w:pPr>
    </w:p>
    <w:p w14:paraId="751B1E3B">
      <w:pPr>
        <w:ind w:firstLine="438" w:firstLineChars="200"/>
        <w:rPr>
          <w:rFonts w:ascii="宋体" w:hAnsi="宋体"/>
        </w:rPr>
      </w:pPr>
      <w:r>
        <w:rPr>
          <w:rFonts w:hint="eastAsia" w:ascii="宋体" w:hAnsi="宋体"/>
        </w:rPr>
        <w:t>本文件按照GB/T 1.1-2020《标准化工作导则  第1部分：标准化文件的结构和起草规则》的规定起草。</w:t>
      </w:r>
    </w:p>
    <w:p w14:paraId="10A7B6C5">
      <w:pPr>
        <w:ind w:firstLine="438" w:firstLineChars="200"/>
        <w:rPr>
          <w:rFonts w:ascii="宋体" w:hAnsi="宋体"/>
        </w:rPr>
      </w:pPr>
      <w:r>
        <w:rPr>
          <w:rFonts w:hint="eastAsia" w:ascii="宋体" w:hAnsi="宋体"/>
        </w:rPr>
        <w:t>本文件代替</w:t>
      </w:r>
      <w:r>
        <w:rPr>
          <w:rFonts w:hint="eastAsia" w:ascii="宋体" w:hAnsi="宋体"/>
          <w:szCs w:val="21"/>
        </w:rPr>
        <w:t>JB/T 11849-2018</w:t>
      </w:r>
      <w:r>
        <w:rPr>
          <w:rFonts w:hint="eastAsia" w:ascii="宋体" w:hAnsi="宋体"/>
        </w:rPr>
        <w:t>《影院用银幕架系统》和</w:t>
      </w:r>
      <w:r>
        <w:rPr>
          <w:rFonts w:hint="eastAsia" w:ascii="宋体" w:hAnsi="宋体"/>
          <w:szCs w:val="21"/>
        </w:rPr>
        <w:t>JB/T 14158-2021</w:t>
      </w:r>
      <w:r>
        <w:rPr>
          <w:rFonts w:hint="eastAsia" w:ascii="宋体" w:hAnsi="宋体"/>
        </w:rPr>
        <w:t>《立体电影激光放映银幕架系统》，与</w:t>
      </w:r>
      <w:r>
        <w:rPr>
          <w:rFonts w:hint="eastAsia" w:ascii="宋体" w:hAnsi="宋体"/>
          <w:szCs w:val="21"/>
        </w:rPr>
        <w:t>JB/T 11849-2018</w:t>
      </w:r>
      <w:r>
        <w:rPr>
          <w:rFonts w:hint="eastAsia" w:ascii="宋体" w:hAnsi="宋体"/>
        </w:rPr>
        <w:t>、</w:t>
      </w:r>
      <w:r>
        <w:rPr>
          <w:rFonts w:hint="eastAsia" w:ascii="宋体" w:hAnsi="宋体"/>
          <w:szCs w:val="21"/>
        </w:rPr>
        <w:t xml:space="preserve">JB/T 14158-2021 </w:t>
      </w:r>
      <w:r>
        <w:rPr>
          <w:rFonts w:hint="eastAsia" w:ascii="宋体" w:hAnsi="宋体"/>
        </w:rPr>
        <w:t>相比，除结构调整和编辑性改动外，主要技术变化如下：</w:t>
      </w:r>
    </w:p>
    <w:p w14:paraId="5A81B4F8">
      <w:pPr>
        <w:ind w:left="876" w:leftChars="200" w:hanging="438" w:hangingChars="200"/>
        <w:rPr>
          <w:rFonts w:ascii="宋体" w:hAnsi="宋体"/>
        </w:rPr>
      </w:pPr>
      <w:r>
        <w:rPr>
          <w:rFonts w:hint="eastAsia" w:ascii="宋体" w:hAnsi="宋体"/>
        </w:rPr>
        <w:t>——标准名称由《影院用银幕架系统》和《立体电影激光放映银幕架系统》合并为《电影放映银幕架系统》；</w:t>
      </w:r>
    </w:p>
    <w:p w14:paraId="7EEBE0F9">
      <w:pPr>
        <w:ind w:firstLine="438" w:firstLineChars="200"/>
        <w:rPr>
          <w:rFonts w:ascii="宋体" w:hAnsi="宋体"/>
        </w:rPr>
      </w:pPr>
      <w:r>
        <w:rPr>
          <w:rFonts w:hint="eastAsia" w:ascii="宋体" w:hAnsi="宋体"/>
        </w:rPr>
        <w:t>——更改了“范围”内容；</w:t>
      </w:r>
    </w:p>
    <w:p w14:paraId="77D9FB01">
      <w:pPr>
        <w:ind w:left="876" w:leftChars="200" w:hanging="438" w:hangingChars="200"/>
        <w:rPr>
          <w:rFonts w:ascii="宋体" w:hAnsi="宋体"/>
          <w:color w:val="0000FF"/>
        </w:rPr>
      </w:pPr>
      <w:r>
        <w:rPr>
          <w:rFonts w:hint="eastAsia" w:ascii="宋体" w:hAnsi="宋体"/>
        </w:rPr>
        <w:t>——提高了水平度、铅锤度和对角线误差(见5.3.9)；</w:t>
      </w:r>
      <w:r>
        <w:rPr>
          <w:rFonts w:hint="eastAsia" w:ascii="宋体" w:hAnsi="宋体"/>
          <w:color w:val="0000FF"/>
        </w:rPr>
        <w:t xml:space="preserve">  </w:t>
      </w:r>
    </w:p>
    <w:p w14:paraId="48D820BB">
      <w:pPr>
        <w:ind w:left="876" w:leftChars="200" w:hanging="438" w:hangingChars="200"/>
        <w:rPr>
          <w:rFonts w:ascii="宋体" w:hAnsi="宋体"/>
        </w:rPr>
      </w:pPr>
      <w:r>
        <w:rPr>
          <w:rFonts w:hint="eastAsia" w:ascii="宋体" w:hAnsi="宋体"/>
        </w:rPr>
        <w:t>——提高了限位装置的停位误差(见5.4.2)；</w:t>
      </w:r>
    </w:p>
    <w:p w14:paraId="0B62D555">
      <w:pPr>
        <w:ind w:left="876" w:leftChars="200" w:hanging="438" w:hangingChars="200"/>
        <w:rPr>
          <w:rFonts w:ascii="宋体" w:hAnsi="宋体"/>
        </w:rPr>
      </w:pPr>
      <w:r>
        <w:rPr>
          <w:rFonts w:hint="eastAsia" w:ascii="宋体" w:hAnsi="宋体"/>
        </w:rPr>
        <w:t xml:space="preserve">——提高了黑框垂直度、水平及对角线误差(见5.4.3)； </w:t>
      </w:r>
    </w:p>
    <w:p w14:paraId="10E8FB5A">
      <w:pPr>
        <w:ind w:left="876" w:leftChars="200" w:hanging="438" w:hangingChars="200"/>
        <w:rPr>
          <w:rFonts w:ascii="宋体" w:hAnsi="宋体"/>
        </w:rPr>
      </w:pPr>
      <w:r>
        <w:rPr>
          <w:rFonts w:hint="eastAsia" w:ascii="宋体" w:hAnsi="宋体"/>
        </w:rPr>
        <w:t>——提高了噪声指标要求(见5.8)；</w:t>
      </w:r>
    </w:p>
    <w:p w14:paraId="01658356">
      <w:pPr>
        <w:ind w:left="876" w:leftChars="200" w:hanging="438" w:hangingChars="200"/>
        <w:rPr>
          <w:rFonts w:ascii="宋体" w:hAnsi="宋体"/>
        </w:rPr>
      </w:pPr>
      <w:r>
        <w:rPr>
          <w:rFonts w:hint="eastAsia" w:ascii="宋体" w:hAnsi="宋体"/>
        </w:rPr>
        <w:t>——更改了验收规则(见7)。</w:t>
      </w:r>
    </w:p>
    <w:p w14:paraId="2DD40FCB">
      <w:pPr>
        <w:ind w:firstLine="438" w:firstLineChars="200"/>
        <w:rPr>
          <w:rFonts w:ascii="宋体" w:hAnsi="宋体"/>
        </w:rPr>
      </w:pPr>
      <w:r>
        <w:rPr>
          <w:rFonts w:hint="eastAsia" w:ascii="宋体" w:hAnsi="宋体"/>
        </w:rPr>
        <w:t>请注意本文件的某些内容可能涉及专利。本文件的发布机构不承担识别专利的责任。</w:t>
      </w:r>
    </w:p>
    <w:p w14:paraId="4B866E0E">
      <w:pPr>
        <w:ind w:firstLine="438" w:firstLineChars="200"/>
        <w:rPr>
          <w:rFonts w:ascii="宋体" w:hAnsi="宋体"/>
          <w:szCs w:val="21"/>
        </w:rPr>
      </w:pPr>
      <w:r>
        <w:rPr>
          <w:rFonts w:hint="eastAsia" w:ascii="宋体" w:hAnsi="宋体"/>
        </w:rPr>
        <w:t>本标准</w:t>
      </w:r>
      <w:r>
        <w:rPr>
          <w:rFonts w:hint="eastAsia" w:ascii="宋体" w:hAnsi="宋体"/>
          <w:szCs w:val="21"/>
        </w:rPr>
        <w:t>起草单位：安徽影动巨星银幕有限公司、菲涅尔显示科技(张家港)有限公司、泉州知悉企业管理咨询有限公司、泉州润物科技有限公司、张家港市万事达电教科技有限公司、秦皇岛昌隆银幕有限公司、无锡市冬慧影视器材有限公司、中科宝溢视觉科技(江苏)有限公司、秦皇岛视听机械研究所有限公司</w:t>
      </w:r>
      <w:r>
        <w:rPr>
          <w:rFonts w:hint="eastAsia" w:ascii="宋体" w:hAnsi="宋体"/>
          <w:szCs w:val="21"/>
          <w:lang w:eastAsia="zh-CN"/>
        </w:rPr>
        <w:t>、</w:t>
      </w:r>
      <w:r>
        <w:rPr>
          <w:rFonts w:hint="eastAsia" w:ascii="宋体" w:hAnsi="宋体"/>
          <w:szCs w:val="21"/>
          <w:lang w:val="en-US" w:eastAsia="zh-CN"/>
        </w:rPr>
        <w:t>秦皇岛美视达视听检测技术有限公司</w:t>
      </w:r>
      <w:r>
        <w:rPr>
          <w:rFonts w:hint="eastAsia" w:ascii="宋体" w:hAnsi="宋体"/>
          <w:szCs w:val="21"/>
        </w:rPr>
        <w:t>。</w:t>
      </w:r>
    </w:p>
    <w:p w14:paraId="317CCDCD">
      <w:pPr>
        <w:ind w:firstLine="438" w:firstLineChars="200"/>
        <w:rPr>
          <w:rFonts w:ascii="宋体" w:hAnsi="宋体"/>
          <w:szCs w:val="21"/>
        </w:rPr>
      </w:pPr>
      <w:r>
        <w:rPr>
          <w:rFonts w:hint="eastAsia" w:ascii="宋体" w:hAnsi="宋体"/>
        </w:rPr>
        <w:t>本标准主要起草人</w:t>
      </w:r>
      <w:r>
        <w:rPr>
          <w:rFonts w:hint="eastAsia" w:ascii="宋体" w:hAnsi="宋体"/>
          <w:szCs w:val="21"/>
        </w:rPr>
        <w:t>：</w:t>
      </w:r>
      <w:r>
        <w:rPr>
          <w:rFonts w:hint="eastAsia" w:ascii="宋体" w:hAnsi="宋体"/>
          <w:szCs w:val="21"/>
          <w:lang w:val="en-US" w:eastAsia="zh-CN"/>
        </w:rPr>
        <w:t>许曙波</w:t>
      </w:r>
      <w:r>
        <w:rPr>
          <w:rFonts w:hint="eastAsia" w:ascii="宋体" w:hAnsi="宋体"/>
          <w:szCs w:val="21"/>
        </w:rPr>
        <w:t>、刘永进、张华、刘太龙、</w:t>
      </w:r>
      <w:r>
        <w:rPr>
          <w:rFonts w:hint="eastAsia" w:ascii="宋体" w:hAnsi="宋体"/>
          <w:szCs w:val="21"/>
          <w:lang w:val="en-US" w:eastAsia="zh-CN"/>
        </w:rPr>
        <w:t>韩东、</w:t>
      </w:r>
      <w:r>
        <w:rPr>
          <w:rFonts w:hint="eastAsia" w:ascii="宋体" w:hAnsi="宋体"/>
          <w:szCs w:val="21"/>
        </w:rPr>
        <w:t>邓荣武。</w:t>
      </w:r>
    </w:p>
    <w:p w14:paraId="212E701A">
      <w:pPr>
        <w:ind w:firstLine="438" w:firstLineChars="200"/>
        <w:rPr>
          <w:rFonts w:ascii="宋体" w:hAnsi="宋体"/>
        </w:rPr>
      </w:pPr>
      <w:r>
        <w:rPr>
          <w:rFonts w:hint="eastAsia" w:ascii="宋体" w:hAnsi="宋体"/>
        </w:rPr>
        <w:t>本文件所代替文件的历次版本发布情况为：</w:t>
      </w:r>
    </w:p>
    <w:p w14:paraId="67DA61C7">
      <w:pPr>
        <w:ind w:firstLine="438" w:firstLineChars="200"/>
        <w:rPr>
          <w:rFonts w:ascii="宋体" w:hAnsi="宋体"/>
        </w:rPr>
      </w:pPr>
      <w:r>
        <w:rPr>
          <w:rFonts w:hint="eastAsia" w:ascii="宋体" w:hAnsi="宋体"/>
        </w:rPr>
        <w:t xml:space="preserve">——JB/T </w:t>
      </w:r>
      <w:r>
        <w:rPr>
          <w:rFonts w:hint="eastAsia" w:ascii="宋体" w:hAnsi="宋体"/>
          <w:szCs w:val="21"/>
        </w:rPr>
        <w:t>11849-2018</w:t>
      </w:r>
      <w:r>
        <w:rPr>
          <w:rFonts w:hint="eastAsia" w:ascii="宋体" w:hAnsi="宋体"/>
        </w:rPr>
        <w:t>、</w:t>
      </w:r>
      <w:r>
        <w:rPr>
          <w:rFonts w:hint="eastAsia" w:ascii="宋体" w:hAnsi="宋体"/>
          <w:szCs w:val="21"/>
        </w:rPr>
        <w:t>JB/T14158-2021</w:t>
      </w:r>
      <w:r>
        <w:rPr>
          <w:rFonts w:hint="eastAsia" w:ascii="宋体" w:hAnsi="宋体"/>
        </w:rPr>
        <w:t>。</w:t>
      </w:r>
    </w:p>
    <w:p w14:paraId="08FA4439">
      <w:pPr>
        <w:ind w:firstLine="330" w:firstLineChars="175"/>
        <w:jc w:val="right"/>
        <w:rPr>
          <w:sz w:val="18"/>
          <w:szCs w:val="18"/>
        </w:rPr>
      </w:pPr>
    </w:p>
    <w:p w14:paraId="5A97692E">
      <w:pPr>
        <w:ind w:firstLine="330" w:firstLineChars="175"/>
        <w:jc w:val="right"/>
        <w:rPr>
          <w:sz w:val="18"/>
          <w:szCs w:val="18"/>
        </w:rPr>
      </w:pPr>
    </w:p>
    <w:p w14:paraId="1DAB79EB">
      <w:pPr>
        <w:ind w:firstLine="330" w:firstLineChars="175"/>
        <w:jc w:val="right"/>
        <w:rPr>
          <w:sz w:val="18"/>
          <w:szCs w:val="18"/>
        </w:rPr>
      </w:pPr>
    </w:p>
    <w:p w14:paraId="33299EE0">
      <w:pPr>
        <w:ind w:firstLine="330" w:firstLineChars="175"/>
        <w:jc w:val="right"/>
        <w:rPr>
          <w:sz w:val="18"/>
          <w:szCs w:val="18"/>
        </w:rPr>
      </w:pPr>
    </w:p>
    <w:p w14:paraId="73ED6517">
      <w:pPr>
        <w:ind w:firstLine="330" w:firstLineChars="175"/>
        <w:jc w:val="right"/>
        <w:rPr>
          <w:sz w:val="18"/>
          <w:szCs w:val="18"/>
        </w:rPr>
      </w:pPr>
    </w:p>
    <w:p w14:paraId="4940DD81">
      <w:pPr>
        <w:ind w:firstLine="330" w:firstLineChars="175"/>
        <w:jc w:val="right"/>
        <w:rPr>
          <w:sz w:val="18"/>
          <w:szCs w:val="18"/>
        </w:rPr>
      </w:pPr>
    </w:p>
    <w:p w14:paraId="5063D588">
      <w:pPr>
        <w:ind w:firstLine="330" w:firstLineChars="175"/>
        <w:jc w:val="right"/>
        <w:rPr>
          <w:sz w:val="18"/>
          <w:szCs w:val="18"/>
        </w:rPr>
      </w:pPr>
    </w:p>
    <w:p w14:paraId="3380C617">
      <w:pPr>
        <w:ind w:firstLine="330" w:firstLineChars="175"/>
        <w:jc w:val="right"/>
        <w:rPr>
          <w:sz w:val="18"/>
          <w:szCs w:val="18"/>
        </w:rPr>
      </w:pPr>
    </w:p>
    <w:p w14:paraId="5C4C7FEF">
      <w:pPr>
        <w:ind w:firstLine="330" w:firstLineChars="175"/>
        <w:jc w:val="right"/>
        <w:rPr>
          <w:sz w:val="18"/>
          <w:szCs w:val="18"/>
        </w:rPr>
      </w:pPr>
    </w:p>
    <w:p w14:paraId="37CAE93C">
      <w:pPr>
        <w:ind w:firstLine="330" w:firstLineChars="175"/>
        <w:jc w:val="right"/>
        <w:rPr>
          <w:sz w:val="18"/>
          <w:szCs w:val="18"/>
        </w:rPr>
      </w:pPr>
    </w:p>
    <w:p w14:paraId="1E3CBE95">
      <w:pPr>
        <w:ind w:firstLine="330" w:firstLineChars="175"/>
        <w:jc w:val="right"/>
        <w:rPr>
          <w:sz w:val="18"/>
          <w:szCs w:val="18"/>
        </w:rPr>
      </w:pPr>
    </w:p>
    <w:p w14:paraId="5F968ABC">
      <w:pPr>
        <w:ind w:firstLine="330" w:firstLineChars="175"/>
        <w:jc w:val="right"/>
        <w:rPr>
          <w:sz w:val="18"/>
          <w:szCs w:val="18"/>
        </w:rPr>
      </w:pPr>
    </w:p>
    <w:p w14:paraId="55F524E2">
      <w:pPr>
        <w:ind w:firstLine="330" w:firstLineChars="175"/>
        <w:jc w:val="right"/>
        <w:rPr>
          <w:sz w:val="18"/>
          <w:szCs w:val="18"/>
        </w:rPr>
      </w:pPr>
    </w:p>
    <w:p w14:paraId="333FA05B">
      <w:pPr>
        <w:ind w:firstLine="330" w:firstLineChars="175"/>
        <w:jc w:val="right"/>
        <w:rPr>
          <w:sz w:val="18"/>
          <w:szCs w:val="18"/>
        </w:rPr>
      </w:pPr>
    </w:p>
    <w:p w14:paraId="5C9FBEF3">
      <w:pPr>
        <w:ind w:firstLine="330" w:firstLineChars="175"/>
        <w:jc w:val="right"/>
        <w:rPr>
          <w:sz w:val="18"/>
          <w:szCs w:val="18"/>
        </w:rPr>
      </w:pPr>
    </w:p>
    <w:p w14:paraId="5D2C44CA">
      <w:pPr>
        <w:ind w:firstLine="330" w:firstLineChars="175"/>
        <w:jc w:val="right"/>
        <w:rPr>
          <w:sz w:val="18"/>
          <w:szCs w:val="18"/>
        </w:rPr>
      </w:pPr>
    </w:p>
    <w:p w14:paraId="2800A0C8">
      <w:pPr>
        <w:ind w:firstLine="330" w:firstLineChars="175"/>
        <w:jc w:val="right"/>
        <w:rPr>
          <w:sz w:val="18"/>
          <w:szCs w:val="18"/>
        </w:rPr>
      </w:pPr>
      <w:r>
        <w:rPr>
          <w:rFonts w:hint="eastAsia"/>
          <w:sz w:val="18"/>
          <w:szCs w:val="18"/>
        </w:rPr>
        <w:t>Ⅰ</w:t>
      </w:r>
    </w:p>
    <w:p w14:paraId="4A1A9CBA">
      <w:pPr>
        <w:jc w:val="right"/>
        <w:rPr>
          <w:rFonts w:ascii="黑体" w:eastAsia="黑体"/>
          <w:szCs w:val="21"/>
        </w:rPr>
      </w:pPr>
      <w:r>
        <w:rPr>
          <w:rFonts w:hint="eastAsia" w:ascii="黑体" w:hAnsi="宋体" w:eastAsia="黑体"/>
          <w:szCs w:val="21"/>
        </w:rPr>
        <w:t>JB/T ××××-××××</w:t>
      </w:r>
    </w:p>
    <w:p w14:paraId="0982C5CD">
      <w:pPr>
        <w:jc w:val="center"/>
        <w:rPr>
          <w:rFonts w:ascii="黑体" w:eastAsia="黑体"/>
          <w:sz w:val="32"/>
          <w:szCs w:val="32"/>
        </w:rPr>
      </w:pPr>
    </w:p>
    <w:p w14:paraId="13416E2E">
      <w:pPr>
        <w:jc w:val="center"/>
        <w:rPr>
          <w:rFonts w:ascii="黑体" w:eastAsia="黑体"/>
          <w:szCs w:val="21"/>
        </w:rPr>
      </w:pPr>
      <w:r>
        <w:rPr>
          <w:rFonts w:hint="eastAsia" w:ascii="黑体" w:eastAsia="黑体"/>
          <w:sz w:val="32"/>
          <w:szCs w:val="32"/>
        </w:rPr>
        <w:t>电影放映银幕架系统</w:t>
      </w:r>
    </w:p>
    <w:p w14:paraId="0049B5A7">
      <w:pPr>
        <w:rPr>
          <w:rFonts w:ascii="黑体" w:eastAsia="黑体"/>
          <w:szCs w:val="21"/>
        </w:rPr>
      </w:pPr>
    </w:p>
    <w:p w14:paraId="214F1CFE">
      <w:pPr>
        <w:rPr>
          <w:rFonts w:eastAsia="黑体"/>
          <w:szCs w:val="21"/>
        </w:rPr>
      </w:pPr>
      <w:r>
        <w:rPr>
          <w:rFonts w:hint="eastAsia" w:ascii="黑体" w:eastAsia="黑体"/>
          <w:szCs w:val="21"/>
        </w:rPr>
        <w:t>1  范</w:t>
      </w:r>
      <w:r>
        <w:rPr>
          <w:rFonts w:hint="eastAsia" w:eastAsia="黑体"/>
          <w:szCs w:val="21"/>
        </w:rPr>
        <w:t>围</w:t>
      </w:r>
    </w:p>
    <w:p w14:paraId="5D1E405A">
      <w:pPr>
        <w:rPr>
          <w:rFonts w:eastAsia="黑体"/>
          <w:szCs w:val="21"/>
        </w:rPr>
      </w:pPr>
    </w:p>
    <w:p w14:paraId="1822A516">
      <w:pPr>
        <w:ind w:firstLine="438" w:firstLineChars="200"/>
        <w:rPr>
          <w:rFonts w:ascii="宋体" w:hAnsi="宋体"/>
          <w:szCs w:val="21"/>
        </w:rPr>
      </w:pPr>
      <w:r>
        <w:rPr>
          <w:rFonts w:hint="eastAsia" w:ascii="宋体" w:hAnsi="宋体"/>
          <w:szCs w:val="21"/>
        </w:rPr>
        <w:t>本文件界定了电影放映银幕架系统的术语和定义及基本结构，规定了技术要求，描述了相应的试验方法、规定了验收规则以及标志、包装、运输和贮存。</w:t>
      </w:r>
    </w:p>
    <w:p w14:paraId="309C1724">
      <w:pPr>
        <w:ind w:firstLine="438" w:firstLineChars="200"/>
        <w:rPr>
          <w:szCs w:val="21"/>
        </w:rPr>
      </w:pPr>
      <w:r>
        <w:rPr>
          <w:rFonts w:hint="eastAsia" w:ascii="宋体" w:hAnsi="宋体"/>
          <w:szCs w:val="21"/>
        </w:rPr>
        <w:t>本文件适用于电影放映用固定安装的银幕架系统的制造。</w:t>
      </w:r>
    </w:p>
    <w:p w14:paraId="0C56F873">
      <w:pPr>
        <w:ind w:firstLine="382" w:firstLineChars="175"/>
        <w:rPr>
          <w:szCs w:val="21"/>
        </w:rPr>
      </w:pPr>
    </w:p>
    <w:p w14:paraId="13829AEE">
      <w:pPr>
        <w:rPr>
          <w:rFonts w:eastAsia="黑体"/>
          <w:szCs w:val="21"/>
        </w:rPr>
      </w:pPr>
      <w:r>
        <w:rPr>
          <w:rFonts w:hint="eastAsia" w:ascii="黑体" w:eastAsia="黑体"/>
          <w:szCs w:val="21"/>
        </w:rPr>
        <w:t xml:space="preserve">2  </w:t>
      </w:r>
      <w:r>
        <w:rPr>
          <w:rFonts w:hint="eastAsia" w:eastAsia="黑体"/>
          <w:szCs w:val="21"/>
        </w:rPr>
        <w:t>规范性引用文件</w:t>
      </w:r>
    </w:p>
    <w:p w14:paraId="5778E1CE">
      <w:pPr>
        <w:rPr>
          <w:rFonts w:eastAsia="黑体"/>
          <w:szCs w:val="21"/>
        </w:rPr>
      </w:pPr>
    </w:p>
    <w:p w14:paraId="3FC6D1AE">
      <w:pPr>
        <w:pStyle w:val="9"/>
        <w:ind w:firstLine="438" w:firstLineChars="200"/>
        <w:rPr>
          <w:rFonts w:ascii="宋体" w:hAnsi="宋体"/>
          <w:sz w:val="21"/>
          <w:szCs w:val="21"/>
        </w:rPr>
      </w:pPr>
      <w:r>
        <w:rPr>
          <w:rFonts w:hint="eastAsia" w:ascii="宋体" w:hAnsi="宋体"/>
          <w:sz w:val="21"/>
          <w:szCs w:val="21"/>
        </w:rPr>
        <w:t>下列文件对于本文件的应用是必不可少的。凡是注日期的引用文件，仅注日期的版本适用于本文件。凡是不注日期的引用文件，其最新版本(包括所有的修改单)适用于本文件。</w:t>
      </w:r>
    </w:p>
    <w:p w14:paraId="5A24AED5">
      <w:pPr>
        <w:ind w:firstLine="438" w:firstLineChars="200"/>
        <w:rPr>
          <w:rFonts w:ascii="宋体" w:hAnsi="宋体"/>
          <w:szCs w:val="21"/>
        </w:rPr>
      </w:pPr>
      <w:r>
        <w:rPr>
          <w:rFonts w:hint="eastAsia" w:ascii="宋体" w:hAnsi="宋体"/>
          <w:szCs w:val="21"/>
        </w:rPr>
        <w:t>GB 8624-2012  建筑材料及制品燃烧性能分级</w:t>
      </w:r>
    </w:p>
    <w:p w14:paraId="34DB04B3">
      <w:pPr>
        <w:ind w:firstLine="438" w:firstLineChars="200"/>
        <w:rPr>
          <w:rFonts w:ascii="宋体" w:hAnsi="宋体"/>
          <w:szCs w:val="21"/>
        </w:rPr>
      </w:pPr>
      <w:r>
        <w:rPr>
          <w:rFonts w:hint="eastAsia" w:ascii="宋体" w:hAnsi="宋体"/>
          <w:szCs w:val="21"/>
        </w:rPr>
        <w:t>GB 8898-2011  音频、视频及类似电子设备 安全要求</w:t>
      </w:r>
    </w:p>
    <w:p w14:paraId="6CEDF4A9">
      <w:pPr>
        <w:ind w:firstLine="438" w:firstLineChars="200"/>
        <w:rPr>
          <w:rFonts w:ascii="宋体" w:hAnsi="宋体"/>
          <w:szCs w:val="21"/>
        </w:rPr>
      </w:pPr>
      <w:r>
        <w:rPr>
          <w:rFonts w:hint="eastAsia" w:ascii="宋体" w:hAnsi="宋体"/>
          <w:szCs w:val="21"/>
        </w:rPr>
        <w:t>GB/T 9286-2021  色漆和清漆 漆膜的划格试验</w:t>
      </w:r>
    </w:p>
    <w:p w14:paraId="2D18E8A1">
      <w:pPr>
        <w:ind w:firstLine="438" w:firstLineChars="200"/>
        <w:rPr>
          <w:rFonts w:ascii="宋体" w:hAnsi="宋体"/>
          <w:szCs w:val="21"/>
        </w:rPr>
      </w:pPr>
      <w:r>
        <w:rPr>
          <w:rFonts w:hint="eastAsia" w:ascii="宋体" w:hAnsi="宋体"/>
          <w:szCs w:val="21"/>
        </w:rPr>
        <w:t>GB/T 21048-2007  电影院星级的划分与评定</w:t>
      </w:r>
    </w:p>
    <w:p w14:paraId="31F52CC6">
      <w:pPr>
        <w:ind w:firstLine="438" w:firstLineChars="200"/>
        <w:rPr>
          <w:rFonts w:ascii="宋体" w:hAnsi="宋体"/>
          <w:szCs w:val="21"/>
        </w:rPr>
      </w:pPr>
      <w:r>
        <w:rPr>
          <w:rFonts w:hint="eastAsia" w:ascii="宋体" w:hAnsi="宋体"/>
          <w:szCs w:val="21"/>
        </w:rPr>
        <w:t>GB/T 25480-2010  仪器仪表运输、贮存基本环境条件及试验方法</w:t>
      </w:r>
    </w:p>
    <w:p w14:paraId="5266B0E4">
      <w:pPr>
        <w:rPr>
          <w:rFonts w:ascii="黑体" w:eastAsia="黑体"/>
        </w:rPr>
      </w:pPr>
    </w:p>
    <w:p w14:paraId="6BE72B30">
      <w:pPr>
        <w:rPr>
          <w:rFonts w:ascii="黑体" w:eastAsia="黑体"/>
        </w:rPr>
      </w:pPr>
      <w:r>
        <w:rPr>
          <w:rFonts w:hint="eastAsia" w:ascii="黑体" w:eastAsia="黑体"/>
        </w:rPr>
        <w:t xml:space="preserve">3  </w:t>
      </w:r>
      <w:r>
        <w:rPr>
          <w:rFonts w:hint="eastAsia" w:ascii="黑体" w:eastAsia="黑体"/>
          <w:szCs w:val="21"/>
        </w:rPr>
        <w:t>术语和定义</w:t>
      </w:r>
    </w:p>
    <w:p w14:paraId="72864AFF">
      <w:pPr>
        <w:autoSpaceDE w:val="0"/>
        <w:autoSpaceDN w:val="0"/>
        <w:adjustRightInd w:val="0"/>
        <w:ind w:firstLine="374" w:firstLineChars="171"/>
        <w:rPr>
          <w:rFonts w:ascii="宋体" w:hAnsi="宋体"/>
          <w:kern w:val="0"/>
        </w:rPr>
      </w:pPr>
    </w:p>
    <w:p w14:paraId="2BE72ED1">
      <w:pPr>
        <w:tabs>
          <w:tab w:val="left" w:pos="438"/>
        </w:tabs>
        <w:rPr>
          <w:rFonts w:ascii="宋体" w:hAnsi="宋体"/>
          <w:kern w:val="0"/>
        </w:rPr>
      </w:pPr>
      <w:r>
        <w:rPr>
          <w:rFonts w:hint="eastAsia" w:ascii="宋体" w:hAnsi="宋体"/>
          <w:kern w:val="0"/>
        </w:rPr>
        <w:t xml:space="preserve">    下列术语和定义适用于本文件。</w:t>
      </w:r>
    </w:p>
    <w:p w14:paraId="1CF4B52E">
      <w:pPr>
        <w:autoSpaceDE w:val="0"/>
        <w:autoSpaceDN w:val="0"/>
        <w:adjustRightInd w:val="0"/>
        <w:rPr>
          <w:rFonts w:ascii="黑体" w:hAnsi="黑体" w:eastAsia="黑体"/>
          <w:kern w:val="0"/>
          <w:szCs w:val="21"/>
        </w:rPr>
      </w:pPr>
      <w:r>
        <w:rPr>
          <w:rFonts w:hint="eastAsia" w:ascii="黑体" w:hAnsi="黑体" w:eastAsia="黑体"/>
          <w:kern w:val="0"/>
          <w:szCs w:val="21"/>
        </w:rPr>
        <w:t>3.1</w:t>
      </w:r>
    </w:p>
    <w:p w14:paraId="2261A200">
      <w:pPr>
        <w:autoSpaceDE w:val="0"/>
        <w:autoSpaceDN w:val="0"/>
        <w:adjustRightInd w:val="0"/>
        <w:ind w:firstLine="438" w:firstLineChars="200"/>
        <w:rPr>
          <w:rFonts w:ascii="黑体" w:hAnsi="黑体" w:eastAsia="黑体"/>
          <w:kern w:val="0"/>
          <w:szCs w:val="21"/>
        </w:rPr>
      </w:pPr>
      <w:r>
        <w:rPr>
          <w:rFonts w:hint="eastAsia" w:ascii="黑体" w:hAnsi="黑体" w:eastAsia="黑体"/>
          <w:szCs w:val="21"/>
        </w:rPr>
        <w:t xml:space="preserve">银幕架系统  </w:t>
      </w:r>
      <w:r>
        <w:rPr>
          <w:rFonts w:hint="eastAsia" w:ascii="宋体" w:hAnsi="宋体"/>
          <w:b/>
          <w:szCs w:val="21"/>
        </w:rPr>
        <w:t>screen frame system</w:t>
      </w:r>
    </w:p>
    <w:p w14:paraId="423B2044">
      <w:pPr>
        <w:ind w:firstLine="438" w:firstLineChars="200"/>
        <w:jc w:val="left"/>
        <w:rPr>
          <w:rFonts w:ascii="宋体" w:hAnsi="宋体"/>
          <w:szCs w:val="21"/>
        </w:rPr>
      </w:pPr>
      <w:r>
        <w:rPr>
          <w:rFonts w:hint="eastAsia" w:ascii="宋体" w:hAnsi="宋体"/>
          <w:szCs w:val="21"/>
        </w:rPr>
        <w:t>用于固定银幕及音箱，可选用固定黑框或电动黑框调整有效画面尺寸和比例的整套设备。</w:t>
      </w:r>
    </w:p>
    <w:p w14:paraId="74B10383">
      <w:pPr>
        <w:jc w:val="left"/>
        <w:rPr>
          <w:rFonts w:ascii="黑体" w:hAnsi="黑体" w:eastAsia="黑体"/>
          <w:szCs w:val="21"/>
        </w:rPr>
      </w:pPr>
      <w:r>
        <w:rPr>
          <w:rFonts w:ascii="黑体" w:hAnsi="黑体" w:eastAsia="黑体"/>
          <w:szCs w:val="21"/>
        </w:rPr>
        <w:t>3.2</w:t>
      </w:r>
      <w:r>
        <w:rPr>
          <w:rFonts w:hint="eastAsia" w:ascii="黑体" w:hAnsi="黑体" w:eastAsia="黑体"/>
          <w:szCs w:val="21"/>
        </w:rPr>
        <w:t xml:space="preserve">  </w:t>
      </w:r>
    </w:p>
    <w:p w14:paraId="6429D44F">
      <w:pPr>
        <w:ind w:firstLine="438" w:firstLineChars="200"/>
        <w:jc w:val="left"/>
        <w:rPr>
          <w:rFonts w:ascii="黑体" w:hAnsi="黑体" w:eastAsia="黑体"/>
          <w:szCs w:val="21"/>
        </w:rPr>
      </w:pPr>
      <w:r>
        <w:rPr>
          <w:rFonts w:hint="eastAsia" w:ascii="黑体" w:hAnsi="黑体" w:eastAsia="黑体"/>
          <w:szCs w:val="21"/>
        </w:rPr>
        <w:t>绷幕框</w:t>
      </w:r>
      <w:bookmarkStart w:id="0" w:name="OLE_LINK12"/>
      <w:r>
        <w:rPr>
          <w:rFonts w:hint="eastAsia" w:ascii="黑体" w:hAnsi="黑体" w:eastAsia="黑体"/>
          <w:szCs w:val="21"/>
        </w:rPr>
        <w:t xml:space="preserve">  </w:t>
      </w:r>
      <w:r>
        <w:rPr>
          <w:rFonts w:hint="eastAsia" w:ascii="宋体" w:hAnsi="宋体"/>
          <w:b/>
          <w:szCs w:val="21"/>
        </w:rPr>
        <w:t>s</w:t>
      </w:r>
      <w:r>
        <w:rPr>
          <w:rFonts w:ascii="宋体" w:hAnsi="宋体"/>
          <w:b/>
          <w:szCs w:val="21"/>
        </w:rPr>
        <w:t xml:space="preserve">tretched </w:t>
      </w:r>
      <w:r>
        <w:rPr>
          <w:rFonts w:hint="eastAsia" w:ascii="宋体" w:hAnsi="宋体"/>
          <w:b/>
          <w:szCs w:val="21"/>
        </w:rPr>
        <w:t>s</w:t>
      </w:r>
      <w:r>
        <w:rPr>
          <w:rFonts w:ascii="宋体" w:hAnsi="宋体"/>
          <w:b/>
          <w:szCs w:val="21"/>
        </w:rPr>
        <w:t>creen</w:t>
      </w:r>
      <w:bookmarkEnd w:id="0"/>
      <w:r>
        <w:rPr>
          <w:rFonts w:ascii="宋体" w:hAnsi="宋体"/>
          <w:b/>
          <w:szCs w:val="21"/>
        </w:rPr>
        <w:t xml:space="preserve"> </w:t>
      </w:r>
      <w:r>
        <w:rPr>
          <w:rFonts w:hint="eastAsia" w:ascii="宋体" w:hAnsi="宋体"/>
          <w:b/>
          <w:szCs w:val="21"/>
        </w:rPr>
        <w:t>s</w:t>
      </w:r>
      <w:r>
        <w:rPr>
          <w:rFonts w:ascii="宋体" w:hAnsi="宋体"/>
          <w:b/>
          <w:szCs w:val="21"/>
        </w:rPr>
        <w:t>ystem</w:t>
      </w:r>
    </w:p>
    <w:p w14:paraId="475321EB">
      <w:pPr>
        <w:ind w:firstLine="438" w:firstLineChars="200"/>
        <w:jc w:val="left"/>
        <w:rPr>
          <w:rFonts w:ascii="宋体" w:hAnsi="宋体"/>
          <w:szCs w:val="21"/>
        </w:rPr>
      </w:pPr>
      <w:r>
        <w:rPr>
          <w:rFonts w:hint="eastAsia" w:ascii="宋体" w:hAnsi="宋体"/>
          <w:szCs w:val="21"/>
        </w:rPr>
        <w:t>固定在银幕架上，用于张挂银幕的框架。</w:t>
      </w:r>
    </w:p>
    <w:p w14:paraId="365EC9E2">
      <w:pPr>
        <w:jc w:val="left"/>
        <w:rPr>
          <w:rFonts w:ascii="黑体" w:hAnsi="黑体" w:eastAsia="黑体"/>
          <w:szCs w:val="21"/>
        </w:rPr>
      </w:pPr>
      <w:r>
        <w:rPr>
          <w:rFonts w:ascii="黑体" w:hAnsi="黑体" w:eastAsia="黑体"/>
          <w:szCs w:val="21"/>
        </w:rPr>
        <w:t>3.3</w:t>
      </w:r>
      <w:r>
        <w:rPr>
          <w:rFonts w:hint="eastAsia" w:ascii="黑体" w:hAnsi="黑体" w:eastAsia="黑体"/>
          <w:szCs w:val="21"/>
        </w:rPr>
        <w:t xml:space="preserve">  </w:t>
      </w:r>
    </w:p>
    <w:p w14:paraId="04DF7B3B">
      <w:pPr>
        <w:ind w:firstLine="438" w:firstLineChars="200"/>
        <w:jc w:val="left"/>
        <w:rPr>
          <w:rFonts w:ascii="黑体" w:hAnsi="黑体" w:eastAsia="黑体"/>
          <w:szCs w:val="21"/>
        </w:rPr>
      </w:pPr>
      <w:r>
        <w:rPr>
          <w:rFonts w:hint="eastAsia" w:ascii="黑体" w:hAnsi="黑体" w:eastAsia="黑体"/>
          <w:szCs w:val="21"/>
        </w:rPr>
        <w:t xml:space="preserve">黑框  </w:t>
      </w:r>
      <w:r>
        <w:rPr>
          <w:rFonts w:hint="eastAsia" w:ascii="宋体" w:hAnsi="宋体"/>
          <w:b/>
          <w:szCs w:val="21"/>
        </w:rPr>
        <w:t>masking</w:t>
      </w:r>
    </w:p>
    <w:p w14:paraId="4F6D14DC">
      <w:pPr>
        <w:ind w:firstLine="438" w:firstLineChars="200"/>
        <w:jc w:val="left"/>
        <w:rPr>
          <w:rFonts w:ascii="宋体" w:hAnsi="宋体"/>
          <w:szCs w:val="21"/>
        </w:rPr>
      </w:pPr>
      <w:r>
        <w:rPr>
          <w:rFonts w:hint="eastAsia" w:ascii="宋体" w:hAnsi="宋体"/>
          <w:szCs w:val="21"/>
        </w:rPr>
        <w:t>安装在银幕四周，用于吸收杂散光，突出画面的结构。</w:t>
      </w:r>
    </w:p>
    <w:p w14:paraId="6D1DD717">
      <w:pPr>
        <w:ind w:firstLine="378" w:firstLineChars="200"/>
        <w:jc w:val="left"/>
        <w:rPr>
          <w:rFonts w:ascii="宋体" w:hAnsi="宋体"/>
          <w:sz w:val="18"/>
          <w:szCs w:val="18"/>
        </w:rPr>
      </w:pPr>
      <w:r>
        <w:rPr>
          <w:rFonts w:hint="eastAsia" w:ascii="黑体" w:hAnsi="黑体" w:eastAsia="黑体"/>
          <w:sz w:val="18"/>
          <w:szCs w:val="18"/>
        </w:rPr>
        <w:t>注：</w:t>
      </w:r>
      <w:r>
        <w:rPr>
          <w:rFonts w:hint="eastAsia" w:ascii="宋体" w:hAnsi="宋体"/>
          <w:sz w:val="18"/>
          <w:szCs w:val="18"/>
        </w:rPr>
        <w:t>分固定黑框和电动黑框两种。</w:t>
      </w:r>
    </w:p>
    <w:p w14:paraId="022CA21A">
      <w:pPr>
        <w:jc w:val="left"/>
        <w:rPr>
          <w:rFonts w:ascii="黑体" w:hAnsi="黑体" w:eastAsia="黑体"/>
          <w:szCs w:val="21"/>
        </w:rPr>
      </w:pPr>
      <w:r>
        <w:rPr>
          <w:rFonts w:ascii="黑体" w:hAnsi="黑体" w:eastAsia="黑体"/>
          <w:szCs w:val="21"/>
        </w:rPr>
        <w:t>3.4</w:t>
      </w:r>
    </w:p>
    <w:p w14:paraId="0F09D3F2">
      <w:pPr>
        <w:ind w:firstLine="438" w:firstLineChars="200"/>
        <w:jc w:val="left"/>
        <w:rPr>
          <w:rFonts w:ascii="黑体" w:hAnsi="黑体" w:eastAsia="黑体"/>
          <w:szCs w:val="21"/>
        </w:rPr>
      </w:pPr>
      <w:r>
        <w:rPr>
          <w:rFonts w:hint="eastAsia" w:ascii="黑体" w:hAnsi="黑体" w:eastAsia="黑体"/>
          <w:szCs w:val="21"/>
        </w:rPr>
        <w:t xml:space="preserve">最低设计视点高度  </w:t>
      </w:r>
      <w:r>
        <w:rPr>
          <w:rFonts w:hint="eastAsia" w:ascii="宋体" w:hAnsi="宋体"/>
          <w:b/>
          <w:szCs w:val="21"/>
        </w:rPr>
        <w:t>m</w:t>
      </w:r>
      <w:r>
        <w:rPr>
          <w:rFonts w:ascii="宋体" w:hAnsi="宋体"/>
          <w:b/>
          <w:szCs w:val="21"/>
        </w:rPr>
        <w:t>inimum</w:t>
      </w:r>
      <w:r>
        <w:rPr>
          <w:rFonts w:hint="eastAsia" w:ascii="宋体" w:hAnsi="宋体"/>
          <w:b/>
          <w:szCs w:val="21"/>
        </w:rPr>
        <w:t xml:space="preserve"> </w:t>
      </w:r>
      <w:r>
        <w:rPr>
          <w:rFonts w:ascii="宋体" w:hAnsi="宋体"/>
          <w:b/>
          <w:szCs w:val="21"/>
        </w:rPr>
        <w:t>height of view point</w:t>
      </w:r>
    </w:p>
    <w:p w14:paraId="5DB57460">
      <w:pPr>
        <w:ind w:firstLine="438" w:firstLineChars="200"/>
        <w:jc w:val="left"/>
        <w:rPr>
          <w:rFonts w:ascii="宋体" w:hAnsi="宋体"/>
          <w:szCs w:val="21"/>
        </w:rPr>
      </w:pPr>
      <w:r>
        <w:rPr>
          <w:rFonts w:hint="eastAsia" w:ascii="宋体" w:hAnsi="宋体"/>
          <w:szCs w:val="21"/>
        </w:rPr>
        <w:t>银幕画面最低有效画面下缘距第一排观众席地面的高度。</w:t>
      </w:r>
    </w:p>
    <w:p w14:paraId="18708DEA">
      <w:pPr>
        <w:jc w:val="left"/>
        <w:rPr>
          <w:rFonts w:ascii="黑体" w:hAnsi="黑体" w:eastAsia="黑体"/>
          <w:szCs w:val="21"/>
        </w:rPr>
      </w:pPr>
      <w:r>
        <w:rPr>
          <w:rFonts w:ascii="黑体" w:hAnsi="黑体" w:eastAsia="黑体"/>
          <w:szCs w:val="21"/>
        </w:rPr>
        <w:t>3.</w:t>
      </w:r>
      <w:r>
        <w:rPr>
          <w:rFonts w:hint="eastAsia" w:ascii="黑体" w:hAnsi="黑体" w:eastAsia="黑体"/>
          <w:szCs w:val="21"/>
        </w:rPr>
        <w:t xml:space="preserve">5  </w:t>
      </w:r>
    </w:p>
    <w:p w14:paraId="3132E471">
      <w:pPr>
        <w:ind w:firstLine="438" w:firstLineChars="200"/>
        <w:jc w:val="left"/>
        <w:rPr>
          <w:rFonts w:ascii="黑体" w:hAnsi="黑体" w:eastAsia="黑体"/>
          <w:szCs w:val="21"/>
        </w:rPr>
      </w:pPr>
      <w:r>
        <w:rPr>
          <w:rFonts w:hint="eastAsia" w:ascii="黑体" w:hAnsi="黑体" w:eastAsia="黑体"/>
          <w:szCs w:val="21"/>
        </w:rPr>
        <w:t xml:space="preserve">垂直放映角  </w:t>
      </w:r>
      <w:r>
        <w:rPr>
          <w:rFonts w:hint="eastAsia" w:ascii="宋体" w:hAnsi="宋体"/>
          <w:b/>
          <w:szCs w:val="21"/>
        </w:rPr>
        <w:t>v</w:t>
      </w:r>
      <w:r>
        <w:rPr>
          <w:rFonts w:ascii="宋体" w:hAnsi="宋体"/>
          <w:b/>
          <w:szCs w:val="21"/>
        </w:rPr>
        <w:t>ertical projection angle</w:t>
      </w:r>
    </w:p>
    <w:p w14:paraId="04D13AB9">
      <w:pPr>
        <w:ind w:firstLine="438" w:firstLineChars="200"/>
        <w:jc w:val="left"/>
        <w:rPr>
          <w:rFonts w:ascii="宋体" w:hAnsi="宋体"/>
          <w:szCs w:val="21"/>
        </w:rPr>
      </w:pPr>
      <w:r>
        <w:rPr>
          <w:rFonts w:hint="eastAsia" w:ascii="宋体" w:hAnsi="宋体"/>
          <w:szCs w:val="21"/>
        </w:rPr>
        <w:t>放映光轴与银幕中轴线的垂直夹角。</w:t>
      </w:r>
    </w:p>
    <w:p w14:paraId="337313DD">
      <w:pPr>
        <w:ind w:firstLine="378" w:firstLineChars="200"/>
        <w:jc w:val="left"/>
        <w:rPr>
          <w:rFonts w:ascii="宋体" w:hAnsi="宋体"/>
          <w:sz w:val="18"/>
          <w:szCs w:val="18"/>
        </w:rPr>
      </w:pPr>
      <w:r>
        <w:rPr>
          <w:rFonts w:hint="eastAsia" w:ascii="黑体" w:hAnsi="黑体" w:eastAsia="黑体"/>
          <w:sz w:val="18"/>
          <w:szCs w:val="18"/>
        </w:rPr>
        <w:t>注：</w:t>
      </w:r>
      <w:r>
        <w:rPr>
          <w:rFonts w:hint="eastAsia" w:ascii="宋体" w:hAnsi="宋体"/>
          <w:sz w:val="18"/>
          <w:szCs w:val="18"/>
        </w:rPr>
        <w:t>分为放映仰角和放映俯角两种。</w:t>
      </w:r>
    </w:p>
    <w:p w14:paraId="5BF91B21">
      <w:pPr>
        <w:tabs>
          <w:tab w:val="left" w:pos="657"/>
        </w:tabs>
        <w:jc w:val="right"/>
        <w:rPr>
          <w:rFonts w:ascii="宋体" w:hAnsi="宋体"/>
          <w:sz w:val="18"/>
          <w:szCs w:val="18"/>
        </w:rPr>
      </w:pPr>
      <w:r>
        <w:rPr>
          <w:rFonts w:hint="eastAsia" w:ascii="宋体" w:hAnsi="宋体"/>
          <w:sz w:val="18"/>
          <w:szCs w:val="18"/>
        </w:rPr>
        <w:t>1</w:t>
      </w:r>
    </w:p>
    <w:p w14:paraId="6BB038D8">
      <w:pPr>
        <w:jc w:val="left"/>
        <w:rPr>
          <w:rFonts w:ascii="宋体" w:hAnsi="宋体"/>
          <w:szCs w:val="21"/>
        </w:rPr>
      </w:pPr>
      <w:r>
        <w:rPr>
          <w:rFonts w:ascii="黑体" w:hAnsi="黑体" w:eastAsia="黑体"/>
          <w:szCs w:val="21"/>
        </w:rPr>
        <w:t>JB/T ××××-××××</w:t>
      </w:r>
    </w:p>
    <w:p w14:paraId="3FFE86F5">
      <w:pPr>
        <w:jc w:val="left"/>
        <w:rPr>
          <w:rFonts w:ascii="黑体" w:hAnsi="黑体" w:eastAsia="黑体"/>
          <w:szCs w:val="21"/>
        </w:rPr>
      </w:pPr>
    </w:p>
    <w:p w14:paraId="11DFE5E1">
      <w:pPr>
        <w:jc w:val="left"/>
        <w:rPr>
          <w:rFonts w:ascii="黑体" w:hAnsi="黑体" w:eastAsia="黑体"/>
          <w:szCs w:val="21"/>
        </w:rPr>
      </w:pPr>
      <w:r>
        <w:rPr>
          <w:rFonts w:ascii="黑体" w:hAnsi="黑体" w:eastAsia="黑体"/>
          <w:szCs w:val="21"/>
        </w:rPr>
        <w:t>3.6</w:t>
      </w:r>
    </w:p>
    <w:p w14:paraId="4D25AC1A">
      <w:pPr>
        <w:ind w:firstLine="219" w:firstLineChars="100"/>
        <w:jc w:val="left"/>
        <w:rPr>
          <w:rFonts w:ascii="宋体" w:hAnsi="宋体"/>
          <w:b/>
          <w:szCs w:val="21"/>
        </w:rPr>
      </w:pPr>
      <w:r>
        <w:rPr>
          <w:rFonts w:hint="eastAsia" w:ascii="黑体" w:hAnsi="黑体" w:eastAsia="黑体"/>
          <w:szCs w:val="21"/>
        </w:rPr>
        <w:t xml:space="preserve">  立架  </w:t>
      </w:r>
      <w:r>
        <w:rPr>
          <w:rFonts w:hint="eastAsia" w:ascii="宋体" w:hAnsi="宋体"/>
          <w:b/>
          <w:szCs w:val="21"/>
        </w:rPr>
        <w:t>upright frame</w:t>
      </w:r>
    </w:p>
    <w:p w14:paraId="7717903A">
      <w:pPr>
        <w:ind w:firstLine="438" w:firstLineChars="200"/>
        <w:jc w:val="left"/>
        <w:rPr>
          <w:rFonts w:ascii="宋体" w:hAnsi="宋体"/>
          <w:szCs w:val="21"/>
        </w:rPr>
      </w:pPr>
      <w:r>
        <w:rPr>
          <w:rFonts w:ascii="宋体" w:hAnsi="宋体"/>
          <w:szCs w:val="21"/>
        </w:rPr>
        <w:t>杆</w:t>
      </w:r>
      <w:r>
        <w:rPr>
          <w:rFonts w:hint="eastAsia" w:ascii="宋体" w:hAnsi="宋体"/>
          <w:szCs w:val="21"/>
        </w:rPr>
        <w:t xml:space="preserve"> </w:t>
      </w:r>
      <w:r>
        <w:rPr>
          <w:rFonts w:ascii="宋体" w:hAnsi="宋体"/>
          <w:szCs w:val="21"/>
        </w:rPr>
        <w:t xml:space="preserve"> tube</w:t>
      </w:r>
    </w:p>
    <w:p w14:paraId="6E35FE09">
      <w:pPr>
        <w:ind w:firstLine="438" w:firstLineChars="200"/>
        <w:jc w:val="left"/>
        <w:rPr>
          <w:rFonts w:ascii="宋体" w:hAnsi="宋体"/>
          <w:szCs w:val="21"/>
        </w:rPr>
      </w:pPr>
      <w:r>
        <w:rPr>
          <w:rFonts w:hint="eastAsia" w:ascii="宋体" w:hAnsi="宋体"/>
          <w:szCs w:val="21"/>
        </w:rPr>
        <w:t>银幕架中垂直于水平面的竖向构件。</w:t>
      </w:r>
    </w:p>
    <w:p w14:paraId="50CECE1C">
      <w:pPr>
        <w:jc w:val="left"/>
        <w:rPr>
          <w:rFonts w:ascii="黑体" w:hAnsi="黑体" w:eastAsia="黑体"/>
          <w:szCs w:val="21"/>
        </w:rPr>
      </w:pPr>
      <w:r>
        <w:rPr>
          <w:rFonts w:ascii="黑体" w:hAnsi="黑体" w:eastAsia="黑体"/>
          <w:szCs w:val="21"/>
        </w:rPr>
        <w:t>3.7</w:t>
      </w:r>
    </w:p>
    <w:p w14:paraId="5D6F660F">
      <w:pPr>
        <w:ind w:firstLine="219" w:firstLineChars="100"/>
        <w:jc w:val="left"/>
        <w:rPr>
          <w:rFonts w:ascii="黑体" w:hAnsi="黑体" w:eastAsia="黑体"/>
          <w:szCs w:val="21"/>
        </w:rPr>
      </w:pPr>
      <w:r>
        <w:rPr>
          <w:rFonts w:hint="eastAsia" w:ascii="黑体" w:hAnsi="黑体" w:eastAsia="黑体"/>
          <w:szCs w:val="21"/>
        </w:rPr>
        <w:t xml:space="preserve">  连墙件  </w:t>
      </w:r>
      <w:r>
        <w:rPr>
          <w:rFonts w:hint="eastAsia" w:ascii="宋体" w:hAnsi="宋体"/>
          <w:b/>
          <w:szCs w:val="21"/>
        </w:rPr>
        <w:t>tie member</w:t>
      </w:r>
    </w:p>
    <w:p w14:paraId="265A02C0">
      <w:pPr>
        <w:ind w:firstLine="438" w:firstLineChars="200"/>
        <w:jc w:val="left"/>
        <w:rPr>
          <w:rFonts w:ascii="宋体" w:hAnsi="宋体"/>
          <w:szCs w:val="21"/>
        </w:rPr>
      </w:pPr>
      <w:r>
        <w:rPr>
          <w:rFonts w:hint="eastAsia" w:ascii="宋体" w:hAnsi="宋体"/>
          <w:szCs w:val="21"/>
        </w:rPr>
        <w:t>连接银幕架与建筑物的构件。</w:t>
      </w:r>
    </w:p>
    <w:p w14:paraId="6845FD04">
      <w:pPr>
        <w:jc w:val="left"/>
        <w:rPr>
          <w:rFonts w:ascii="黑体" w:hAnsi="黑体" w:eastAsia="黑体"/>
          <w:szCs w:val="21"/>
        </w:rPr>
      </w:pPr>
      <w:r>
        <w:rPr>
          <w:rFonts w:ascii="黑体" w:hAnsi="黑体" w:eastAsia="黑体"/>
          <w:szCs w:val="21"/>
        </w:rPr>
        <w:t>3.8</w:t>
      </w:r>
    </w:p>
    <w:p w14:paraId="0F19C7CB">
      <w:pPr>
        <w:ind w:firstLine="219" w:firstLineChars="100"/>
        <w:jc w:val="left"/>
        <w:rPr>
          <w:rFonts w:ascii="黑体" w:hAnsi="黑体" w:eastAsia="黑体"/>
          <w:szCs w:val="21"/>
        </w:rPr>
      </w:pPr>
      <w:r>
        <w:rPr>
          <w:rFonts w:hint="eastAsia" w:ascii="黑体" w:hAnsi="黑体" w:eastAsia="黑体"/>
          <w:szCs w:val="21"/>
        </w:rPr>
        <w:t xml:space="preserve">  水平杆  </w:t>
      </w:r>
      <w:r>
        <w:rPr>
          <w:rFonts w:hint="eastAsia" w:ascii="宋体" w:hAnsi="宋体"/>
          <w:b/>
          <w:szCs w:val="21"/>
        </w:rPr>
        <w:t>horizontal tube</w:t>
      </w:r>
    </w:p>
    <w:p w14:paraId="7AAC02B8">
      <w:pPr>
        <w:ind w:firstLine="438" w:firstLineChars="200"/>
        <w:jc w:val="left"/>
        <w:rPr>
          <w:rFonts w:ascii="宋体" w:hAnsi="宋体"/>
          <w:szCs w:val="21"/>
        </w:rPr>
      </w:pPr>
      <w:r>
        <w:rPr>
          <w:rFonts w:hint="eastAsia" w:ascii="宋体" w:hAnsi="宋体"/>
          <w:szCs w:val="21"/>
        </w:rPr>
        <w:t>银幕架中的水平连接杆件。</w:t>
      </w:r>
    </w:p>
    <w:p w14:paraId="5AE2C325">
      <w:pPr>
        <w:jc w:val="left"/>
        <w:rPr>
          <w:rFonts w:ascii="黑体" w:hAnsi="黑体" w:eastAsia="黑体"/>
          <w:szCs w:val="21"/>
        </w:rPr>
      </w:pPr>
      <w:r>
        <w:rPr>
          <w:rFonts w:ascii="黑体" w:hAnsi="黑体" w:eastAsia="黑体"/>
          <w:szCs w:val="21"/>
        </w:rPr>
        <w:t>3.9</w:t>
      </w:r>
    </w:p>
    <w:p w14:paraId="2FFCC9B4">
      <w:pPr>
        <w:ind w:firstLine="219" w:firstLineChars="100"/>
        <w:jc w:val="left"/>
        <w:rPr>
          <w:rFonts w:ascii="宋体" w:hAnsi="宋体"/>
          <w:b/>
          <w:szCs w:val="21"/>
        </w:rPr>
      </w:pPr>
      <w:r>
        <w:rPr>
          <w:rFonts w:hint="eastAsia" w:ascii="黑体" w:hAnsi="黑体" w:eastAsia="黑体"/>
          <w:szCs w:val="21"/>
        </w:rPr>
        <w:t xml:space="preserve">  视线超高值  </w:t>
      </w:r>
      <w:r>
        <w:rPr>
          <w:rFonts w:hint="eastAsia" w:ascii="宋体" w:hAnsi="宋体"/>
          <w:b/>
          <w:szCs w:val="21"/>
        </w:rPr>
        <w:t>exceeding value of vertical sightline</w:t>
      </w:r>
    </w:p>
    <w:p w14:paraId="22D4B687">
      <w:pPr>
        <w:ind w:firstLine="219" w:firstLineChars="100"/>
        <w:jc w:val="left"/>
        <w:rPr>
          <w:rFonts w:ascii="宋体" w:hAnsi="宋体"/>
          <w:b/>
          <w:szCs w:val="21"/>
        </w:rPr>
      </w:pPr>
      <w:r>
        <w:rPr>
          <w:rFonts w:hint="eastAsia" w:ascii="宋体" w:hAnsi="宋体"/>
          <w:b/>
          <w:szCs w:val="21"/>
        </w:rPr>
        <w:t xml:space="preserve">  </w:t>
      </w:r>
      <w:r>
        <w:rPr>
          <w:rFonts w:hint="eastAsia" w:ascii="宋体" w:hAnsi="宋体"/>
          <w:szCs w:val="21"/>
        </w:rPr>
        <w:t xml:space="preserve">c值 </w:t>
      </w:r>
      <w:r>
        <w:rPr>
          <w:rFonts w:ascii="宋体" w:hAnsi="宋体"/>
          <w:szCs w:val="21"/>
        </w:rPr>
        <w:t xml:space="preserve"> c value</w:t>
      </w:r>
    </w:p>
    <w:p w14:paraId="36AD22E2">
      <w:pPr>
        <w:ind w:firstLine="438" w:firstLineChars="200"/>
        <w:jc w:val="left"/>
        <w:rPr>
          <w:rFonts w:ascii="宋体" w:hAnsi="宋体"/>
          <w:szCs w:val="21"/>
        </w:rPr>
      </w:pPr>
      <w:r>
        <w:rPr>
          <w:rFonts w:hint="eastAsia" w:ascii="宋体" w:hAnsi="宋体"/>
          <w:szCs w:val="21"/>
        </w:rPr>
        <w:t>后排观众观看设计视点的视线与前排观众眼睛垂线的交点，与前排观众眼睛间的高度差。</w:t>
      </w:r>
    </w:p>
    <w:p w14:paraId="35F9696C">
      <w:pPr>
        <w:ind w:firstLine="378" w:firstLineChars="200"/>
        <w:jc w:val="left"/>
        <w:rPr>
          <w:rFonts w:ascii="宋体" w:hAnsi="宋体"/>
          <w:sz w:val="18"/>
          <w:szCs w:val="18"/>
        </w:rPr>
      </w:pPr>
      <w:r>
        <w:rPr>
          <w:rFonts w:hint="eastAsia" w:ascii="黑体" w:hAnsi="黑体" w:eastAsia="黑体"/>
          <w:sz w:val="18"/>
          <w:szCs w:val="18"/>
        </w:rPr>
        <w:t>注：</w:t>
      </w:r>
      <w:r>
        <w:rPr>
          <w:rFonts w:hint="eastAsia" w:ascii="宋体" w:hAnsi="宋体"/>
          <w:sz w:val="18"/>
          <w:szCs w:val="18"/>
        </w:rPr>
        <w:t>该值取决于最低设计视点的高度及观众席起坡情况。</w:t>
      </w:r>
    </w:p>
    <w:p w14:paraId="2F06753B">
      <w:pPr>
        <w:jc w:val="left"/>
        <w:rPr>
          <w:rFonts w:ascii="黑体" w:hAnsi="黑体" w:eastAsia="黑体"/>
          <w:szCs w:val="21"/>
        </w:rPr>
      </w:pPr>
      <w:r>
        <w:rPr>
          <w:rFonts w:ascii="黑体" w:hAnsi="黑体" w:eastAsia="黑体"/>
          <w:szCs w:val="21"/>
        </w:rPr>
        <w:t>3.10</w:t>
      </w:r>
    </w:p>
    <w:p w14:paraId="2976896B">
      <w:pPr>
        <w:ind w:firstLine="219" w:firstLineChars="100"/>
        <w:jc w:val="left"/>
        <w:rPr>
          <w:rFonts w:ascii="黑体" w:hAnsi="黑体" w:eastAsia="黑体"/>
          <w:szCs w:val="21"/>
        </w:rPr>
      </w:pPr>
      <w:r>
        <w:rPr>
          <w:rFonts w:hint="eastAsia" w:ascii="黑体" w:hAnsi="黑体" w:eastAsia="黑体"/>
          <w:szCs w:val="21"/>
        </w:rPr>
        <w:t xml:space="preserve">  剪刀撑  </w:t>
      </w:r>
      <w:r>
        <w:rPr>
          <w:rFonts w:hint="eastAsia" w:ascii="宋体" w:hAnsi="宋体"/>
          <w:b/>
          <w:szCs w:val="21"/>
        </w:rPr>
        <w:t>diagonal bracing</w:t>
      </w:r>
    </w:p>
    <w:p w14:paraId="305619E4">
      <w:pPr>
        <w:ind w:firstLine="438" w:firstLineChars="200"/>
        <w:jc w:val="left"/>
        <w:rPr>
          <w:rFonts w:ascii="宋体" w:hAnsi="宋体"/>
          <w:szCs w:val="21"/>
        </w:rPr>
      </w:pPr>
      <w:r>
        <w:rPr>
          <w:rFonts w:hint="eastAsia" w:ascii="宋体" w:hAnsi="宋体"/>
          <w:szCs w:val="21"/>
        </w:rPr>
        <w:t>在银幕架立架之间成对设置的交叉斜杆。</w:t>
      </w:r>
    </w:p>
    <w:p w14:paraId="1CB1ABB8">
      <w:pPr>
        <w:jc w:val="left"/>
        <w:rPr>
          <w:rFonts w:ascii="黑体" w:hAnsi="黑体" w:eastAsia="黑体"/>
          <w:szCs w:val="21"/>
        </w:rPr>
      </w:pPr>
      <w:r>
        <w:rPr>
          <w:rFonts w:ascii="黑体" w:hAnsi="黑体" w:eastAsia="黑体"/>
          <w:szCs w:val="21"/>
        </w:rPr>
        <w:t>3.</w:t>
      </w:r>
      <w:r>
        <w:rPr>
          <w:rFonts w:hint="eastAsia" w:ascii="黑体" w:hAnsi="黑体" w:eastAsia="黑体"/>
          <w:szCs w:val="21"/>
        </w:rPr>
        <w:t>11</w:t>
      </w:r>
    </w:p>
    <w:p w14:paraId="7AAB8C78">
      <w:pPr>
        <w:ind w:firstLine="219" w:firstLineChars="100"/>
        <w:jc w:val="left"/>
        <w:rPr>
          <w:rFonts w:ascii="黑体" w:hAnsi="黑体" w:eastAsia="黑体"/>
          <w:szCs w:val="21"/>
        </w:rPr>
      </w:pPr>
      <w:r>
        <w:rPr>
          <w:rFonts w:hint="eastAsia" w:ascii="黑体" w:hAnsi="黑体" w:eastAsia="黑体"/>
          <w:szCs w:val="21"/>
        </w:rPr>
        <w:t xml:space="preserve">  音响障板  </w:t>
      </w:r>
      <w:r>
        <w:rPr>
          <w:rFonts w:hint="eastAsia" w:ascii="宋体" w:hAnsi="宋体"/>
          <w:b/>
          <w:szCs w:val="21"/>
        </w:rPr>
        <w:t>a</w:t>
      </w:r>
      <w:r>
        <w:rPr>
          <w:rFonts w:ascii="宋体" w:hAnsi="宋体"/>
          <w:b/>
          <w:szCs w:val="21"/>
        </w:rPr>
        <w:t>coustic baffle</w:t>
      </w:r>
    </w:p>
    <w:p w14:paraId="4FE02DBB">
      <w:pPr>
        <w:ind w:firstLine="438" w:firstLineChars="200"/>
        <w:jc w:val="left"/>
        <w:rPr>
          <w:rFonts w:ascii="宋体" w:hAnsi="宋体"/>
          <w:szCs w:val="21"/>
        </w:rPr>
      </w:pPr>
      <w:r>
        <w:rPr>
          <w:rFonts w:hint="eastAsia" w:ascii="宋体" w:hAnsi="宋体"/>
          <w:szCs w:val="21"/>
        </w:rPr>
        <w:t>用于阻断和吸收音箱后方发出的声音而设置的无限大障板。</w:t>
      </w:r>
    </w:p>
    <w:p w14:paraId="07A2CCD6">
      <w:pPr>
        <w:jc w:val="left"/>
        <w:rPr>
          <w:rFonts w:ascii="黑体" w:hAnsi="黑体" w:eastAsia="黑体"/>
          <w:szCs w:val="21"/>
        </w:rPr>
      </w:pPr>
      <w:r>
        <w:rPr>
          <w:rFonts w:hint="eastAsia" w:ascii="黑体" w:hAnsi="黑体" w:eastAsia="黑体"/>
          <w:szCs w:val="21"/>
        </w:rPr>
        <w:t>3.12</w:t>
      </w:r>
    </w:p>
    <w:p w14:paraId="46F63E25">
      <w:pPr>
        <w:ind w:firstLine="219" w:firstLineChars="100"/>
        <w:jc w:val="left"/>
        <w:rPr>
          <w:rFonts w:ascii="黑体" w:hAnsi="黑体" w:eastAsia="黑体"/>
          <w:szCs w:val="21"/>
        </w:rPr>
      </w:pPr>
      <w:r>
        <w:rPr>
          <w:rFonts w:hint="eastAsia" w:ascii="黑体" w:hAnsi="黑体" w:eastAsia="黑体"/>
          <w:szCs w:val="21"/>
        </w:rPr>
        <w:t xml:space="preserve">  画面制式  </w:t>
      </w:r>
      <w:r>
        <w:rPr>
          <w:rFonts w:ascii="宋体" w:hAnsi="宋体"/>
          <w:b/>
          <w:szCs w:val="21"/>
        </w:rPr>
        <w:t>picture format</w:t>
      </w:r>
      <w:r>
        <w:rPr>
          <w:rFonts w:hint="eastAsia" w:ascii="黑体" w:hAnsi="黑体" w:eastAsia="黑体"/>
          <w:szCs w:val="21"/>
        </w:rPr>
        <w:t xml:space="preserve"> </w:t>
      </w:r>
    </w:p>
    <w:p w14:paraId="54BB1E69">
      <w:pPr>
        <w:ind w:firstLine="435"/>
        <w:jc w:val="left"/>
        <w:rPr>
          <w:rFonts w:ascii="宋体" w:hAnsi="宋体"/>
          <w:szCs w:val="21"/>
        </w:rPr>
      </w:pPr>
      <w:r>
        <w:rPr>
          <w:rFonts w:hint="eastAsia" w:ascii="宋体" w:hAnsi="宋体"/>
          <w:szCs w:val="21"/>
        </w:rPr>
        <w:t>电影有效画面宽度与高度的固定尺寸比例。</w:t>
      </w:r>
    </w:p>
    <w:p w14:paraId="59B75945">
      <w:pPr>
        <w:jc w:val="left"/>
        <w:rPr>
          <w:rFonts w:ascii="黑体" w:hAnsi="黑体" w:eastAsia="黑体"/>
          <w:szCs w:val="21"/>
        </w:rPr>
      </w:pPr>
      <w:r>
        <w:rPr>
          <w:rFonts w:hint="eastAsia" w:ascii="黑体" w:hAnsi="黑体" w:eastAsia="黑体"/>
          <w:szCs w:val="21"/>
        </w:rPr>
        <w:t>3.13</w:t>
      </w:r>
    </w:p>
    <w:p w14:paraId="0B533569">
      <w:pPr>
        <w:ind w:firstLine="219" w:firstLineChars="100"/>
        <w:jc w:val="left"/>
        <w:rPr>
          <w:rFonts w:ascii="宋体" w:hAnsi="宋体"/>
          <w:szCs w:val="21"/>
        </w:rPr>
      </w:pPr>
      <w:r>
        <w:rPr>
          <w:rFonts w:hint="eastAsia" w:ascii="宋体" w:hAnsi="宋体"/>
          <w:szCs w:val="21"/>
        </w:rPr>
        <w:t xml:space="preserve">  </w:t>
      </w:r>
      <w:r>
        <w:rPr>
          <w:rFonts w:hint="eastAsia" w:ascii="黑体" w:hAnsi="黑体" w:eastAsia="黑体"/>
          <w:szCs w:val="21"/>
        </w:rPr>
        <w:t>振动单元</w:t>
      </w:r>
      <w:r>
        <w:rPr>
          <w:rFonts w:hint="eastAsia" w:ascii="宋体" w:hAnsi="宋体"/>
          <w:szCs w:val="21"/>
        </w:rPr>
        <w:t xml:space="preserve">  </w:t>
      </w:r>
      <w:r>
        <w:rPr>
          <w:rFonts w:hint="eastAsia" w:ascii="宋体" w:hAnsi="宋体"/>
          <w:b/>
          <w:szCs w:val="21"/>
        </w:rPr>
        <w:t>vibrating unit</w:t>
      </w:r>
    </w:p>
    <w:p w14:paraId="1532267F">
      <w:pPr>
        <w:ind w:firstLine="435"/>
        <w:jc w:val="left"/>
        <w:rPr>
          <w:rFonts w:ascii="宋体" w:hAnsi="宋体"/>
          <w:szCs w:val="21"/>
        </w:rPr>
      </w:pPr>
      <w:r>
        <w:rPr>
          <w:rFonts w:hint="eastAsia" w:ascii="宋体" w:hAnsi="宋体"/>
          <w:szCs w:val="21"/>
        </w:rPr>
        <w:t>使银幕(框)发生振动的一组装置。</w:t>
      </w:r>
    </w:p>
    <w:p w14:paraId="56BA928D">
      <w:pPr>
        <w:tabs>
          <w:tab w:val="left" w:pos="438"/>
        </w:tabs>
        <w:rPr>
          <w:rFonts w:ascii="黑体" w:eastAsia="黑体"/>
          <w:szCs w:val="21"/>
        </w:rPr>
      </w:pPr>
    </w:p>
    <w:p w14:paraId="4D193D32">
      <w:pPr>
        <w:tabs>
          <w:tab w:val="left" w:pos="438"/>
        </w:tabs>
        <w:rPr>
          <w:rFonts w:ascii="黑体" w:eastAsia="黑体"/>
          <w:szCs w:val="21"/>
        </w:rPr>
      </w:pPr>
      <w:r>
        <w:rPr>
          <w:rFonts w:hint="eastAsia" w:ascii="黑体" w:eastAsia="黑体"/>
          <w:szCs w:val="21"/>
        </w:rPr>
        <w:t>4  基本结构</w:t>
      </w:r>
    </w:p>
    <w:p w14:paraId="23E5871A">
      <w:pPr>
        <w:tabs>
          <w:tab w:val="left" w:pos="438"/>
        </w:tabs>
        <w:ind w:firstLine="438" w:firstLineChars="200"/>
        <w:rPr>
          <w:rFonts w:ascii="宋体" w:hAnsi="宋体"/>
          <w:szCs w:val="21"/>
        </w:rPr>
      </w:pPr>
    </w:p>
    <w:p w14:paraId="0E60A8D8">
      <w:pPr>
        <w:tabs>
          <w:tab w:val="left" w:pos="438"/>
        </w:tabs>
        <w:ind w:firstLine="438" w:firstLineChars="200"/>
        <w:rPr>
          <w:rFonts w:ascii="宋体" w:hAnsi="宋体"/>
          <w:szCs w:val="21"/>
        </w:rPr>
      </w:pPr>
      <w:r>
        <w:rPr>
          <w:rFonts w:hint="eastAsia" w:ascii="宋体" w:hAnsi="宋体"/>
          <w:szCs w:val="21"/>
        </w:rPr>
        <w:t xml:space="preserve">如图1所示，电影放映银幕架系统(以下简称银幕架系统)主要由立架、绷幕框、振动单元、音箱固定板、连墙件、维修通道、剪刀撑及音响障板(可选)等组成。    </w:t>
      </w:r>
    </w:p>
    <w:p w14:paraId="4BB2EA7D">
      <w:pPr>
        <w:jc w:val="left"/>
        <w:rPr>
          <w:rFonts w:ascii="黑体" w:hAnsi="黑体" w:eastAsia="黑体"/>
          <w:szCs w:val="21"/>
        </w:rPr>
      </w:pPr>
    </w:p>
    <w:p w14:paraId="19445E37">
      <w:pPr>
        <w:jc w:val="left"/>
        <w:rPr>
          <w:rFonts w:ascii="黑体" w:hAnsi="黑体" w:eastAsia="黑体"/>
          <w:szCs w:val="21"/>
        </w:rPr>
      </w:pPr>
      <w:r>
        <w:rPr>
          <w:rFonts w:hint="eastAsia" w:ascii="黑体" w:hAnsi="黑体" w:eastAsia="黑体"/>
          <w:szCs w:val="21"/>
        </w:rPr>
        <w:t>5  技术要求</w:t>
      </w:r>
    </w:p>
    <w:p w14:paraId="4AC00182">
      <w:pPr>
        <w:jc w:val="left"/>
        <w:rPr>
          <w:rFonts w:ascii="黑体" w:hAnsi="黑体" w:eastAsia="黑体"/>
          <w:szCs w:val="21"/>
        </w:rPr>
      </w:pPr>
    </w:p>
    <w:p w14:paraId="51D3B87B">
      <w:pPr>
        <w:jc w:val="left"/>
        <w:rPr>
          <w:rFonts w:ascii="黑体" w:hAnsi="黑体" w:eastAsia="黑体"/>
          <w:szCs w:val="21"/>
        </w:rPr>
      </w:pPr>
      <w:r>
        <w:rPr>
          <w:rFonts w:hint="eastAsia" w:ascii="黑体" w:hAnsi="黑体" w:eastAsia="黑体"/>
          <w:szCs w:val="21"/>
        </w:rPr>
        <w:t>5.1  外观</w:t>
      </w:r>
    </w:p>
    <w:p w14:paraId="3155A1E5">
      <w:pPr>
        <w:jc w:val="left"/>
        <w:rPr>
          <w:rFonts w:ascii="宋体" w:hAnsi="宋体"/>
          <w:szCs w:val="21"/>
        </w:rPr>
      </w:pPr>
      <w:r>
        <w:rPr>
          <w:rFonts w:hint="eastAsia" w:ascii="黑体" w:hAnsi="黑体" w:eastAsia="黑体"/>
          <w:szCs w:val="21"/>
        </w:rPr>
        <w:t xml:space="preserve">5.1.1  </w:t>
      </w:r>
      <w:r>
        <w:rPr>
          <w:rFonts w:hint="eastAsia" w:ascii="宋体" w:hAnsi="宋体"/>
          <w:szCs w:val="21"/>
        </w:rPr>
        <w:t>金属框架的表面应光洁、平整，不应有砂眼、包砂、气孔、冒口；焊缝应平整、饱满，氧化皮应除尽，不应有漏焊、裂纹、夹渣、咬边、弧坑、烧穿及未焊透等缺陷。</w:t>
      </w:r>
    </w:p>
    <w:p w14:paraId="4D729007">
      <w:pPr>
        <w:jc w:val="left"/>
        <w:rPr>
          <w:rFonts w:ascii="宋体" w:hAnsi="宋体"/>
          <w:szCs w:val="21"/>
        </w:rPr>
      </w:pPr>
      <w:r>
        <w:rPr>
          <w:rFonts w:hint="eastAsia" w:ascii="黑体" w:hAnsi="黑体" w:eastAsia="黑体"/>
          <w:szCs w:val="21"/>
        </w:rPr>
        <w:t xml:space="preserve">5.1.2  </w:t>
      </w:r>
      <w:r>
        <w:rPr>
          <w:rFonts w:hint="eastAsia" w:ascii="宋体" w:hAnsi="宋体"/>
          <w:szCs w:val="21"/>
        </w:rPr>
        <w:t>银幕架系统各部件表面应进行防腐处理，应采用黑色不反光涂料，涂层应没有脱落，涂层附</w:t>
      </w:r>
    </w:p>
    <w:p w14:paraId="0DCBCDA6">
      <w:pPr>
        <w:jc w:val="left"/>
        <w:rPr>
          <w:rFonts w:ascii="黑体" w:hAnsi="黑体" w:eastAsia="黑体"/>
          <w:szCs w:val="21"/>
        </w:rPr>
      </w:pPr>
      <w:r>
        <w:rPr>
          <w:rFonts w:hint="eastAsia" w:ascii="宋体" w:hAnsi="宋体"/>
          <w:szCs w:val="21"/>
        </w:rPr>
        <w:t>着力不应大于2级。</w:t>
      </w:r>
    </w:p>
    <w:p w14:paraId="4B3A476D">
      <w:pPr>
        <w:tabs>
          <w:tab w:val="left" w:pos="657"/>
        </w:tabs>
        <w:ind w:right="2" w:rightChars="1"/>
        <w:jc w:val="left"/>
        <w:rPr>
          <w:rFonts w:ascii="宋体" w:hAnsi="宋体"/>
          <w:sz w:val="18"/>
          <w:szCs w:val="18"/>
        </w:rPr>
      </w:pPr>
      <w:r>
        <w:rPr>
          <w:rFonts w:hint="eastAsia" w:ascii="宋体" w:hAnsi="宋体"/>
          <w:sz w:val="18"/>
          <w:szCs w:val="18"/>
        </w:rPr>
        <w:t>2</w:t>
      </w:r>
    </w:p>
    <w:p w14:paraId="564E019C">
      <w:pPr>
        <w:jc w:val="right"/>
        <w:rPr>
          <w:rFonts w:ascii="黑体" w:hAnsi="宋体" w:eastAsia="黑体"/>
          <w:szCs w:val="21"/>
        </w:rPr>
      </w:pPr>
      <w:r>
        <w:rPr>
          <w:rFonts w:hint="eastAsia" w:ascii="黑体" w:hAnsi="宋体" w:eastAsia="黑体"/>
          <w:szCs w:val="21"/>
        </w:rPr>
        <w:t>JB/T ××××-××××</w:t>
      </w:r>
    </w:p>
    <w:p w14:paraId="4F3BB367">
      <w:pPr>
        <w:jc w:val="right"/>
        <w:rPr>
          <w:rFonts w:ascii="黑体" w:hAnsi="宋体" w:eastAsia="黑体"/>
          <w:szCs w:val="21"/>
        </w:rPr>
      </w:pPr>
    </w:p>
    <w:p w14:paraId="77FB6FDA">
      <w:pPr>
        <w:tabs>
          <w:tab w:val="left" w:pos="657"/>
        </w:tabs>
        <w:ind w:right="2" w:rightChars="1"/>
        <w:jc w:val="center"/>
        <w:rPr>
          <w:rFonts w:ascii="黑体" w:hAnsi="黑体" w:eastAsia="黑体" w:cs="宋体"/>
          <w:kern w:val="0"/>
          <w:szCs w:val="21"/>
        </w:rPr>
      </w:pPr>
      <w:r>
        <w:rPr>
          <w:rFonts w:hint="eastAsia" w:ascii="黑体" w:hAnsi="黑体" w:eastAsia="黑体"/>
          <w:szCs w:val="21"/>
        </w:rPr>
        <w:drawing>
          <wp:inline distT="0" distB="0" distL="0" distR="0">
            <wp:extent cx="6276975" cy="3095625"/>
            <wp:effectExtent l="1905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cstate="print"/>
                    <a:srcRect/>
                    <a:stretch>
                      <a:fillRect/>
                    </a:stretch>
                  </pic:blipFill>
                  <pic:spPr>
                    <a:xfrm>
                      <a:off x="0" y="0"/>
                      <a:ext cx="6276975" cy="3095625"/>
                    </a:xfrm>
                    <a:prstGeom prst="rect">
                      <a:avLst/>
                    </a:prstGeom>
                    <a:noFill/>
                    <a:ln w="9525" cmpd="sng">
                      <a:noFill/>
                      <a:miter lim="800000"/>
                      <a:headEnd/>
                      <a:tailEnd/>
                    </a:ln>
                  </pic:spPr>
                </pic:pic>
              </a:graphicData>
            </a:graphic>
          </wp:inline>
        </w:drawing>
      </w:r>
    </w:p>
    <w:p w14:paraId="5E806A94">
      <w:pPr>
        <w:tabs>
          <w:tab w:val="left" w:pos="657"/>
        </w:tabs>
        <w:ind w:right="2" w:rightChars="1"/>
        <w:jc w:val="center"/>
        <w:rPr>
          <w:rFonts w:ascii="黑体" w:hAnsi="黑体" w:eastAsia="黑体"/>
          <w:szCs w:val="21"/>
        </w:rPr>
      </w:pPr>
      <w:r>
        <w:rPr>
          <w:rFonts w:hint="eastAsia" w:ascii="黑体" w:hAnsi="黑体" w:eastAsia="黑体" w:cs="宋体"/>
          <w:kern w:val="0"/>
          <w:szCs w:val="21"/>
        </w:rPr>
        <w:t>图1</w:t>
      </w:r>
    </w:p>
    <w:p w14:paraId="775FCF0B">
      <w:pPr>
        <w:jc w:val="left"/>
        <w:rPr>
          <w:rFonts w:ascii="宋体" w:hAnsi="宋体"/>
          <w:szCs w:val="21"/>
        </w:rPr>
      </w:pPr>
      <w:r>
        <w:rPr>
          <w:rFonts w:hint="eastAsia" w:ascii="黑体" w:hAnsi="黑体" w:eastAsia="黑体"/>
          <w:szCs w:val="21"/>
        </w:rPr>
        <w:t xml:space="preserve">5.1.3  </w:t>
      </w:r>
      <w:r>
        <w:rPr>
          <w:rFonts w:hint="eastAsia" w:ascii="宋体" w:hAnsi="宋体"/>
          <w:szCs w:val="21"/>
        </w:rPr>
        <w:t>紧固件应充分紧固并应牢固锁定。</w:t>
      </w:r>
    </w:p>
    <w:p w14:paraId="7376D9E3">
      <w:pPr>
        <w:tabs>
          <w:tab w:val="left" w:pos="438"/>
        </w:tabs>
        <w:rPr>
          <w:rFonts w:ascii="黑体" w:hAnsi="黑体" w:eastAsia="黑体"/>
          <w:szCs w:val="21"/>
        </w:rPr>
      </w:pPr>
      <w:r>
        <w:rPr>
          <w:rFonts w:hint="eastAsia" w:ascii="黑体" w:hAnsi="黑体" w:eastAsia="黑体"/>
          <w:szCs w:val="21"/>
        </w:rPr>
        <w:t xml:space="preserve">5.1.4  </w:t>
      </w:r>
      <w:r>
        <w:rPr>
          <w:rFonts w:hint="eastAsia" w:ascii="宋体" w:hAnsi="宋体"/>
          <w:szCs w:val="21"/>
        </w:rPr>
        <w:t>银幕架系统的电气控制柜应采取防震、防潮等安全措施。</w:t>
      </w:r>
    </w:p>
    <w:p w14:paraId="26D35317">
      <w:pPr>
        <w:tabs>
          <w:tab w:val="left" w:pos="438"/>
        </w:tabs>
        <w:rPr>
          <w:rFonts w:ascii="黑体" w:hAnsi="黑体" w:eastAsia="黑体"/>
          <w:szCs w:val="21"/>
        </w:rPr>
      </w:pPr>
      <w:r>
        <w:rPr>
          <w:rFonts w:hint="eastAsia" w:ascii="黑体" w:hAnsi="黑体" w:eastAsia="黑体"/>
          <w:szCs w:val="21"/>
        </w:rPr>
        <w:t>5.2  放映要求</w:t>
      </w:r>
    </w:p>
    <w:p w14:paraId="086EDACD">
      <w:pPr>
        <w:tabs>
          <w:tab w:val="left" w:pos="438"/>
        </w:tabs>
        <w:jc w:val="left"/>
        <w:rPr>
          <w:rFonts w:ascii="宋体" w:hAnsi="宋体"/>
          <w:szCs w:val="21"/>
        </w:rPr>
      </w:pPr>
      <w:r>
        <w:rPr>
          <w:rFonts w:hint="eastAsia" w:ascii="黑体" w:hAnsi="黑体" w:eastAsia="黑体"/>
          <w:szCs w:val="21"/>
        </w:rPr>
        <w:t>5.2.1</w:t>
      </w:r>
      <w:r>
        <w:rPr>
          <w:rFonts w:hint="eastAsia" w:ascii="宋体" w:hAnsi="宋体"/>
          <w:szCs w:val="21"/>
        </w:rPr>
        <w:t xml:space="preserve">  银幕架系统的设计应满足各种画面制式的需要，设有可变画面尺寸的银幕架不宜超过三个画面制式变换，推荐使用的标准画面制式：1.78:1、1.85:1、2.35:1。</w:t>
      </w:r>
    </w:p>
    <w:p w14:paraId="58F74706">
      <w:pPr>
        <w:tabs>
          <w:tab w:val="left" w:pos="438"/>
        </w:tabs>
        <w:jc w:val="left"/>
        <w:rPr>
          <w:rFonts w:ascii="宋体" w:hAnsi="宋体"/>
          <w:szCs w:val="21"/>
        </w:rPr>
      </w:pPr>
      <w:r>
        <w:rPr>
          <w:rFonts w:hint="eastAsia" w:ascii="黑体" w:hAnsi="黑体" w:eastAsia="黑体"/>
          <w:szCs w:val="21"/>
        </w:rPr>
        <w:t>5.2.2</w:t>
      </w:r>
      <w:r>
        <w:rPr>
          <w:rFonts w:hint="eastAsia" w:ascii="宋体" w:hAnsi="宋体"/>
          <w:szCs w:val="21"/>
        </w:rPr>
        <w:t xml:space="preserve">  最低设计视点高度应满足视线无遮挡的要求，视线超高值(c值)不应小于0.12m。</w:t>
      </w:r>
    </w:p>
    <w:p w14:paraId="11391CE6">
      <w:pPr>
        <w:tabs>
          <w:tab w:val="left" w:pos="657"/>
        </w:tabs>
        <w:rPr>
          <w:rFonts w:ascii="宋体" w:hAnsi="宋体"/>
          <w:szCs w:val="21"/>
        </w:rPr>
      </w:pPr>
      <w:r>
        <w:rPr>
          <w:rFonts w:hint="eastAsia" w:ascii="黑体" w:hAnsi="黑体" w:eastAsia="黑体"/>
          <w:szCs w:val="21"/>
        </w:rPr>
        <w:t>5.2.3</w:t>
      </w:r>
      <w:r>
        <w:rPr>
          <w:rFonts w:hint="eastAsia" w:ascii="宋体" w:hAnsi="宋体"/>
          <w:szCs w:val="21"/>
        </w:rPr>
        <w:t xml:space="preserve">  垂直放映角不应大于5°。在场地条件不能满足要求时，可通过银幕架的仰俯角进行调整。</w:t>
      </w:r>
    </w:p>
    <w:p w14:paraId="5323194A">
      <w:pPr>
        <w:tabs>
          <w:tab w:val="left" w:pos="657"/>
        </w:tabs>
        <w:rPr>
          <w:rFonts w:ascii="宋体" w:hAnsi="宋体"/>
          <w:szCs w:val="21"/>
        </w:rPr>
      </w:pPr>
      <w:r>
        <w:rPr>
          <w:rFonts w:hint="eastAsia" w:ascii="黑体" w:hAnsi="黑体" w:eastAsia="黑体"/>
          <w:szCs w:val="21"/>
        </w:rPr>
        <w:t>5.2.4</w:t>
      </w:r>
      <w:r>
        <w:rPr>
          <w:rFonts w:hint="eastAsia" w:ascii="宋体" w:hAnsi="宋体"/>
          <w:szCs w:val="21"/>
        </w:rPr>
        <w:t xml:space="preserve">  银幕架应设计成弧面，以满足观众区观看画面亮度均匀度的要求。弧形银幕架安装好后，应保证圆弧圆滑。</w:t>
      </w:r>
    </w:p>
    <w:p w14:paraId="263F1C46">
      <w:pPr>
        <w:jc w:val="left"/>
        <w:rPr>
          <w:rFonts w:ascii="宋体" w:hAnsi="宋体"/>
          <w:szCs w:val="21"/>
        </w:rPr>
      </w:pPr>
      <w:r>
        <w:rPr>
          <w:rFonts w:hint="eastAsia" w:ascii="黑体" w:hAnsi="黑体" w:eastAsia="黑体"/>
          <w:szCs w:val="21"/>
        </w:rPr>
        <w:t>5.2.5</w:t>
      </w:r>
      <w:r>
        <w:rPr>
          <w:rFonts w:hint="eastAsia" w:ascii="宋体" w:hAnsi="宋体"/>
          <w:szCs w:val="21"/>
        </w:rPr>
        <w:t xml:space="preserve">  在巨幕放映时造成放映画面高度方向产生变形，变形量达到画面高度的5%时，应调整银幕有效画面上下边形状，以使实际放映画面与银幕有效画面形状保持一致。如图2所示。</w:t>
      </w:r>
    </w:p>
    <w:p w14:paraId="6630FD8D">
      <w:pPr>
        <w:jc w:val="center"/>
        <w:rPr>
          <w:rFonts w:ascii="宋体" w:hAnsi="宋体"/>
          <w:szCs w:val="21"/>
        </w:rPr>
      </w:pPr>
      <w:r>
        <w:rPr>
          <w:rFonts w:hint="eastAsia" w:ascii="宋体" w:hAnsi="宋体"/>
          <w:szCs w:val="21"/>
        </w:rPr>
        <w:drawing>
          <wp:inline distT="0" distB="0" distL="0" distR="0">
            <wp:extent cx="4895850" cy="2667000"/>
            <wp:effectExtent l="19050" t="0" r="0" b="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noChangeArrowheads="1"/>
                    </pic:cNvPicPr>
                  </pic:nvPicPr>
                  <pic:blipFill>
                    <a:blip r:embed="rId5" cstate="print"/>
                    <a:srcRect/>
                    <a:stretch>
                      <a:fillRect/>
                    </a:stretch>
                  </pic:blipFill>
                  <pic:spPr>
                    <a:xfrm>
                      <a:off x="0" y="0"/>
                      <a:ext cx="4895850" cy="2667000"/>
                    </a:xfrm>
                    <a:prstGeom prst="rect">
                      <a:avLst/>
                    </a:prstGeom>
                    <a:noFill/>
                    <a:ln w="9525" cmpd="sng">
                      <a:noFill/>
                      <a:miter lim="800000"/>
                      <a:headEnd/>
                      <a:tailEnd/>
                    </a:ln>
                  </pic:spPr>
                </pic:pic>
              </a:graphicData>
            </a:graphic>
          </wp:inline>
        </w:drawing>
      </w:r>
    </w:p>
    <w:p w14:paraId="5D9158C1">
      <w:pPr>
        <w:tabs>
          <w:tab w:val="left" w:pos="657"/>
        </w:tabs>
        <w:ind w:right="2" w:rightChars="1"/>
        <w:jc w:val="center"/>
        <w:rPr>
          <w:rFonts w:ascii="黑体" w:hAnsi="黑体" w:eastAsia="黑体"/>
          <w:szCs w:val="21"/>
        </w:rPr>
      </w:pPr>
      <w:r>
        <w:rPr>
          <w:rFonts w:hint="eastAsia" w:ascii="黑体" w:hAnsi="黑体" w:eastAsia="黑体" w:cs="宋体"/>
          <w:kern w:val="0"/>
          <w:szCs w:val="21"/>
        </w:rPr>
        <w:t>图2</w:t>
      </w:r>
    </w:p>
    <w:p w14:paraId="7CBE5FD0">
      <w:pPr>
        <w:jc w:val="left"/>
        <w:rPr>
          <w:rFonts w:ascii="宋体" w:hAnsi="宋体"/>
          <w:szCs w:val="21"/>
        </w:rPr>
      </w:pPr>
    </w:p>
    <w:p w14:paraId="4C0C234B">
      <w:pPr>
        <w:tabs>
          <w:tab w:val="left" w:pos="657"/>
        </w:tabs>
        <w:ind w:right="2" w:rightChars="1"/>
        <w:jc w:val="right"/>
        <w:rPr>
          <w:rFonts w:ascii="宋体" w:hAnsi="宋体"/>
          <w:sz w:val="18"/>
          <w:szCs w:val="18"/>
        </w:rPr>
      </w:pPr>
      <w:r>
        <w:rPr>
          <w:rFonts w:hint="eastAsia" w:ascii="宋体" w:hAnsi="宋体"/>
          <w:sz w:val="18"/>
          <w:szCs w:val="18"/>
        </w:rPr>
        <w:t>3</w:t>
      </w:r>
    </w:p>
    <w:p w14:paraId="7E07B0E1">
      <w:pPr>
        <w:jc w:val="left"/>
        <w:rPr>
          <w:rFonts w:ascii="黑体" w:hAnsi="宋体" w:eastAsia="黑体"/>
          <w:szCs w:val="21"/>
        </w:rPr>
      </w:pPr>
      <w:r>
        <w:rPr>
          <w:rFonts w:hint="eastAsia" w:ascii="黑体" w:hAnsi="宋体" w:eastAsia="黑体"/>
          <w:szCs w:val="21"/>
        </w:rPr>
        <w:t>JB/T ××××-××××</w:t>
      </w:r>
    </w:p>
    <w:p w14:paraId="40BB77E4">
      <w:pPr>
        <w:tabs>
          <w:tab w:val="left" w:pos="9198"/>
        </w:tabs>
        <w:jc w:val="left"/>
        <w:rPr>
          <w:rFonts w:hint="eastAsia" w:ascii="黑体" w:hAnsi="黑体" w:eastAsia="黑体"/>
          <w:szCs w:val="21"/>
        </w:rPr>
      </w:pPr>
    </w:p>
    <w:p w14:paraId="581CBE72">
      <w:pPr>
        <w:tabs>
          <w:tab w:val="left" w:pos="9198"/>
        </w:tabs>
        <w:jc w:val="left"/>
        <w:rPr>
          <w:rFonts w:ascii="黑体" w:hAnsi="黑体" w:eastAsia="黑体"/>
          <w:szCs w:val="21"/>
        </w:rPr>
      </w:pPr>
      <w:r>
        <w:rPr>
          <w:rFonts w:hint="eastAsia" w:ascii="黑体" w:hAnsi="黑体" w:eastAsia="黑体"/>
          <w:szCs w:val="21"/>
        </w:rPr>
        <w:t>5.3  结构要求</w:t>
      </w:r>
    </w:p>
    <w:p w14:paraId="3881F313">
      <w:pPr>
        <w:jc w:val="left"/>
        <w:rPr>
          <w:rFonts w:ascii="宋体" w:hAnsi="宋体"/>
          <w:szCs w:val="21"/>
        </w:rPr>
      </w:pPr>
      <w:r>
        <w:rPr>
          <w:rFonts w:hint="eastAsia" w:ascii="黑体" w:hAnsi="黑体" w:eastAsia="黑体"/>
          <w:szCs w:val="21"/>
        </w:rPr>
        <w:t>5.3.1</w:t>
      </w:r>
      <w:r>
        <w:rPr>
          <w:rFonts w:hint="eastAsia" w:ascii="宋体" w:hAnsi="宋体"/>
          <w:szCs w:val="21"/>
        </w:rPr>
        <w:t xml:space="preserve">  银幕架对地面产生的荷载应小于地面的允许荷载。</w:t>
      </w:r>
    </w:p>
    <w:p w14:paraId="253C0A33">
      <w:pPr>
        <w:jc w:val="left"/>
        <w:rPr>
          <w:rFonts w:hint="eastAsia" w:ascii="宋体" w:hAnsi="宋体" w:eastAsia="宋体"/>
          <w:szCs w:val="21"/>
          <w:lang w:eastAsia="zh-CN"/>
        </w:rPr>
      </w:pPr>
      <w:r>
        <w:rPr>
          <w:rFonts w:hint="eastAsia" w:ascii="黑体" w:hAnsi="黑体" w:eastAsia="黑体"/>
          <w:szCs w:val="21"/>
        </w:rPr>
        <w:t>5.3.2</w:t>
      </w:r>
      <w:r>
        <w:rPr>
          <w:rFonts w:hint="eastAsia" w:ascii="宋体" w:hAnsi="宋体"/>
          <w:szCs w:val="21"/>
        </w:rPr>
        <w:t xml:space="preserve">  银幕架应进行整体和局部稳定设计，银幕架抗倾覆安全系数应大于1.5</w:t>
      </w:r>
      <w:r>
        <w:rPr>
          <w:rFonts w:hint="eastAsia" w:ascii="宋体" w:hAnsi="宋体"/>
          <w:szCs w:val="21"/>
          <w:lang w:eastAsia="zh-CN"/>
        </w:rPr>
        <w:t>。</w:t>
      </w:r>
    </w:p>
    <w:p w14:paraId="24ADB5DA">
      <w:pPr>
        <w:jc w:val="left"/>
        <w:rPr>
          <w:rFonts w:ascii="宋体" w:hAnsi="宋体"/>
          <w:szCs w:val="21"/>
        </w:rPr>
      </w:pPr>
      <w:r>
        <w:rPr>
          <w:rFonts w:hint="eastAsia" w:ascii="黑体" w:hAnsi="黑体" w:eastAsia="黑体"/>
          <w:szCs w:val="21"/>
        </w:rPr>
        <w:t>5.3.3</w:t>
      </w:r>
      <w:r>
        <w:rPr>
          <w:rFonts w:hint="eastAsia" w:ascii="宋体" w:hAnsi="宋体"/>
          <w:szCs w:val="21"/>
        </w:rPr>
        <w:t xml:space="preserve">  银幕架宜设置连墙件。</w:t>
      </w:r>
    </w:p>
    <w:p w14:paraId="138C03F1">
      <w:pPr>
        <w:jc w:val="left"/>
        <w:rPr>
          <w:rFonts w:ascii="宋体" w:hAnsi="宋体"/>
          <w:szCs w:val="21"/>
        </w:rPr>
      </w:pPr>
      <w:r>
        <w:rPr>
          <w:rFonts w:hint="eastAsia" w:ascii="黑体" w:hAnsi="黑体" w:eastAsia="黑体"/>
          <w:szCs w:val="21"/>
        </w:rPr>
        <w:t>5.3.4</w:t>
      </w:r>
      <w:r>
        <w:rPr>
          <w:rFonts w:hint="eastAsia" w:ascii="宋体" w:hAnsi="宋体"/>
          <w:szCs w:val="21"/>
        </w:rPr>
        <w:t xml:space="preserve">  银幕架应设置剪刀撑，剪刀撑的数量不应低于两个，且应能确保银幕架的安全。</w:t>
      </w:r>
    </w:p>
    <w:p w14:paraId="3A2AD0A3">
      <w:pPr>
        <w:jc w:val="left"/>
        <w:rPr>
          <w:rFonts w:ascii="宋体" w:hAnsi="宋体"/>
          <w:szCs w:val="21"/>
        </w:rPr>
      </w:pPr>
      <w:r>
        <w:rPr>
          <w:rFonts w:hint="eastAsia" w:ascii="黑体" w:hAnsi="黑体" w:eastAsia="黑体"/>
          <w:szCs w:val="21"/>
        </w:rPr>
        <w:t>5.3.5</w:t>
      </w:r>
      <w:r>
        <w:rPr>
          <w:rFonts w:hint="eastAsia" w:ascii="宋体" w:hAnsi="宋体"/>
          <w:szCs w:val="21"/>
        </w:rPr>
        <w:t xml:space="preserve">  外露传动部件应设置防护罩。</w:t>
      </w:r>
    </w:p>
    <w:p w14:paraId="4CE35B09">
      <w:pPr>
        <w:jc w:val="left"/>
        <w:rPr>
          <w:rFonts w:ascii="宋体" w:hAnsi="宋体"/>
          <w:szCs w:val="21"/>
        </w:rPr>
      </w:pPr>
      <w:r>
        <w:rPr>
          <w:rFonts w:hint="eastAsia" w:ascii="黑体" w:hAnsi="黑体" w:eastAsia="黑体"/>
          <w:szCs w:val="21"/>
        </w:rPr>
        <w:t>5.3.6</w:t>
      </w:r>
      <w:r>
        <w:rPr>
          <w:rFonts w:hint="eastAsia" w:ascii="宋体" w:hAnsi="宋体"/>
          <w:szCs w:val="21"/>
        </w:rPr>
        <w:t xml:space="preserve">  安装现场不宜焊接，构件宜采用紧固件连接。</w:t>
      </w:r>
    </w:p>
    <w:p w14:paraId="1AFD41F5">
      <w:pPr>
        <w:jc w:val="left"/>
        <w:rPr>
          <w:rFonts w:ascii="宋体" w:hAnsi="宋体"/>
          <w:szCs w:val="21"/>
        </w:rPr>
      </w:pPr>
      <w:r>
        <w:rPr>
          <w:rFonts w:hint="eastAsia" w:ascii="黑体" w:hAnsi="黑体" w:eastAsia="黑体"/>
          <w:szCs w:val="21"/>
        </w:rPr>
        <w:t>5.3.7</w:t>
      </w:r>
      <w:r>
        <w:rPr>
          <w:rFonts w:hint="eastAsia" w:ascii="宋体" w:hAnsi="宋体"/>
          <w:szCs w:val="21"/>
        </w:rPr>
        <w:t xml:space="preserve">  银幕架不宜与顶棚连接。                                                         </w:t>
      </w:r>
    </w:p>
    <w:p w14:paraId="58E5FA4A">
      <w:pPr>
        <w:jc w:val="left"/>
        <w:rPr>
          <w:rFonts w:ascii="宋体" w:hAnsi="宋体"/>
          <w:szCs w:val="21"/>
        </w:rPr>
      </w:pPr>
      <w:r>
        <w:rPr>
          <w:rFonts w:hint="eastAsia" w:ascii="黑体" w:hAnsi="黑体" w:eastAsia="黑体"/>
          <w:szCs w:val="21"/>
        </w:rPr>
        <w:t>5.3.8</w:t>
      </w:r>
      <w:r>
        <w:rPr>
          <w:rFonts w:hint="eastAsia" w:ascii="宋体" w:hAnsi="宋体"/>
          <w:szCs w:val="21"/>
        </w:rPr>
        <w:t xml:space="preserve">  银幕架应设置挂银幕、放置音箱及维护用的工作平台和通道，并具有足够的强度。应设置进入银幕架后方的维修通道。如有伤人的尖锐部件应有防护措施，并设置防跌落的护栏。</w:t>
      </w:r>
    </w:p>
    <w:p w14:paraId="1699F381">
      <w:pPr>
        <w:jc w:val="left"/>
        <w:rPr>
          <w:rFonts w:ascii="宋体" w:hAnsi="宋体"/>
          <w:color w:val="auto"/>
          <w:szCs w:val="21"/>
        </w:rPr>
      </w:pPr>
      <w:r>
        <w:rPr>
          <w:rFonts w:hint="eastAsia" w:ascii="黑体" w:hAnsi="黑体" w:eastAsia="黑体"/>
          <w:szCs w:val="21"/>
        </w:rPr>
        <w:t>5.3.9</w:t>
      </w:r>
      <w:r>
        <w:rPr>
          <w:rFonts w:hint="eastAsia" w:ascii="宋体" w:hAnsi="宋体"/>
          <w:szCs w:val="21"/>
        </w:rPr>
        <w:t xml:space="preserve">  银幕架系统水平杆件水平度误差不应大于宽度的1.0%及立架(杆)铅锤度误差不应大于高度的1.0%，银幕架系统对角线误差不应不大于宽度的</w:t>
      </w:r>
      <w:r>
        <w:rPr>
          <w:rFonts w:hint="eastAsia" w:ascii="宋体" w:hAnsi="宋体"/>
          <w:color w:val="auto"/>
          <w:szCs w:val="21"/>
        </w:rPr>
        <w:t>1.0%</w:t>
      </w:r>
    </w:p>
    <w:p w14:paraId="673E7345">
      <w:pPr>
        <w:jc w:val="left"/>
        <w:rPr>
          <w:rFonts w:ascii="宋体" w:hAnsi="宋体"/>
          <w:szCs w:val="21"/>
        </w:rPr>
      </w:pPr>
      <w:r>
        <w:rPr>
          <w:rFonts w:hint="eastAsia" w:ascii="黑体" w:hAnsi="黑体" w:eastAsia="黑体"/>
          <w:szCs w:val="21"/>
        </w:rPr>
        <w:t>5.3.10</w:t>
      </w:r>
      <w:r>
        <w:rPr>
          <w:rFonts w:hint="eastAsia" w:ascii="宋体" w:hAnsi="宋体"/>
          <w:szCs w:val="21"/>
        </w:rPr>
        <w:t xml:space="preserve">  银幕距后墙的距离应满足音箱放置、调试和维护的要求。</w:t>
      </w:r>
    </w:p>
    <w:p w14:paraId="4970B2DF">
      <w:pPr>
        <w:jc w:val="left"/>
        <w:rPr>
          <w:rFonts w:ascii="宋体" w:hAnsi="宋体"/>
          <w:szCs w:val="21"/>
        </w:rPr>
      </w:pPr>
      <w:r>
        <w:rPr>
          <w:rFonts w:hint="eastAsia" w:ascii="黑体" w:hAnsi="黑体" w:eastAsia="黑体"/>
          <w:szCs w:val="21"/>
        </w:rPr>
        <w:t>5.3.11</w:t>
      </w:r>
      <w:r>
        <w:rPr>
          <w:rFonts w:hint="eastAsia" w:ascii="宋体" w:hAnsi="宋体"/>
          <w:szCs w:val="21"/>
        </w:rPr>
        <w:t xml:space="preserve">  音箱固定板尺寸应大于音箱底座，并应设置防止音箱倾倒的防护措施。</w:t>
      </w:r>
    </w:p>
    <w:p w14:paraId="44CA55E3">
      <w:pPr>
        <w:jc w:val="left"/>
        <w:rPr>
          <w:rFonts w:ascii="宋体" w:hAnsi="宋体"/>
          <w:szCs w:val="21"/>
        </w:rPr>
      </w:pPr>
      <w:r>
        <w:rPr>
          <w:rFonts w:hint="eastAsia" w:ascii="黑体" w:hAnsi="黑体" w:eastAsia="黑体"/>
          <w:szCs w:val="21"/>
        </w:rPr>
        <w:t>5.3.12</w:t>
      </w:r>
      <w:r>
        <w:rPr>
          <w:rFonts w:hint="eastAsia" w:ascii="宋体" w:hAnsi="宋体"/>
          <w:szCs w:val="21"/>
        </w:rPr>
        <w:t xml:space="preserve">  音箱固定板的分布应符合声学设计的要求，并设置防止声音共振的措施。</w:t>
      </w:r>
    </w:p>
    <w:p w14:paraId="4D77C36C">
      <w:pPr>
        <w:jc w:val="left"/>
        <w:rPr>
          <w:rFonts w:ascii="宋体" w:hAnsi="宋体"/>
          <w:szCs w:val="21"/>
        </w:rPr>
      </w:pPr>
      <w:r>
        <w:rPr>
          <w:rFonts w:hint="eastAsia" w:ascii="黑体" w:hAnsi="黑体" w:eastAsia="黑体"/>
          <w:szCs w:val="21"/>
        </w:rPr>
        <w:t>5.3.13</w:t>
      </w:r>
      <w:r>
        <w:rPr>
          <w:rFonts w:hint="eastAsia" w:ascii="宋体" w:hAnsi="宋体"/>
          <w:szCs w:val="21"/>
        </w:rPr>
        <w:t xml:space="preserve">  根据声学设计的要求，银幕架可设置音响障板。</w:t>
      </w:r>
    </w:p>
    <w:p w14:paraId="5623F115">
      <w:pPr>
        <w:jc w:val="left"/>
        <w:rPr>
          <w:rFonts w:ascii="黑体" w:hAnsi="黑体" w:eastAsia="黑体"/>
          <w:szCs w:val="21"/>
        </w:rPr>
      </w:pPr>
      <w:r>
        <w:rPr>
          <w:rFonts w:hint="eastAsia" w:ascii="黑体" w:hAnsi="黑体" w:eastAsia="黑体"/>
          <w:szCs w:val="21"/>
        </w:rPr>
        <w:t>5.4  黑框</w:t>
      </w:r>
    </w:p>
    <w:p w14:paraId="126E944A">
      <w:pPr>
        <w:jc w:val="left"/>
        <w:rPr>
          <w:rFonts w:ascii="宋体" w:hAnsi="宋体"/>
          <w:szCs w:val="21"/>
        </w:rPr>
      </w:pPr>
      <w:r>
        <w:rPr>
          <w:rFonts w:hint="eastAsia" w:ascii="黑体" w:hAnsi="黑体" w:eastAsia="黑体"/>
          <w:szCs w:val="21"/>
        </w:rPr>
        <w:t>5.4.1</w:t>
      </w:r>
      <w:r>
        <w:rPr>
          <w:rFonts w:hint="eastAsia" w:ascii="宋体" w:hAnsi="宋体"/>
          <w:szCs w:val="21"/>
        </w:rPr>
        <w:t xml:space="preserve">  黑框应采用吸光效果良好的黑色材料。</w:t>
      </w:r>
    </w:p>
    <w:p w14:paraId="1D2AFD31">
      <w:pPr>
        <w:jc w:val="left"/>
        <w:rPr>
          <w:rFonts w:ascii="宋体" w:hAnsi="宋体"/>
          <w:color w:val="auto"/>
          <w:szCs w:val="21"/>
        </w:rPr>
      </w:pPr>
      <w:r>
        <w:rPr>
          <w:rFonts w:hint="eastAsia" w:ascii="黑体" w:hAnsi="黑体" w:eastAsia="黑体"/>
          <w:szCs w:val="21"/>
        </w:rPr>
        <w:t>5.4.2</w:t>
      </w:r>
      <w:r>
        <w:rPr>
          <w:rFonts w:hint="eastAsia" w:ascii="宋体" w:hAnsi="宋体"/>
          <w:szCs w:val="21"/>
        </w:rPr>
        <w:t xml:space="preserve">  电动黑框应有自动限位装置，停位误差不应大</w:t>
      </w:r>
      <w:r>
        <w:rPr>
          <w:rFonts w:hint="eastAsia" w:ascii="宋体" w:hAnsi="宋体"/>
          <w:color w:val="auto"/>
          <w:szCs w:val="21"/>
        </w:rPr>
        <w:t>于8</w:t>
      </w:r>
      <w:r>
        <w:rPr>
          <w:rFonts w:hint="eastAsia" w:ascii="宋体" w:hAnsi="宋体"/>
          <w:color w:val="auto"/>
          <w:szCs w:val="21"/>
          <w:lang w:val="en-US" w:eastAsia="zh-CN"/>
        </w:rPr>
        <w:t xml:space="preserve"> </w:t>
      </w:r>
      <w:r>
        <w:rPr>
          <w:rFonts w:hint="eastAsia" w:ascii="宋体" w:hAnsi="宋体"/>
          <w:color w:val="auto"/>
          <w:szCs w:val="21"/>
        </w:rPr>
        <w:t>mm。</w:t>
      </w:r>
    </w:p>
    <w:p w14:paraId="51FD79A2">
      <w:pPr>
        <w:tabs>
          <w:tab w:val="left" w:pos="9198"/>
        </w:tabs>
        <w:jc w:val="left"/>
        <w:rPr>
          <w:rFonts w:ascii="宋体" w:hAnsi="宋体"/>
          <w:color w:val="auto"/>
          <w:szCs w:val="21"/>
        </w:rPr>
      </w:pPr>
      <w:r>
        <w:rPr>
          <w:rFonts w:hint="eastAsia" w:ascii="黑体" w:hAnsi="黑体" w:eastAsia="黑体"/>
          <w:color w:val="auto"/>
          <w:szCs w:val="21"/>
        </w:rPr>
        <w:t xml:space="preserve">5.4.3  </w:t>
      </w:r>
      <w:r>
        <w:rPr>
          <w:rFonts w:hint="eastAsia" w:ascii="宋体" w:hAnsi="宋体"/>
          <w:color w:val="auto"/>
          <w:szCs w:val="21"/>
        </w:rPr>
        <w:t>黑框应与画面边缘平齐，左右黑框垂直度误差不应大于高度的1%及水平黑框水平误差不应大于宽度的1%、对角线误差不应不大于宽度的1.0%。</w:t>
      </w:r>
    </w:p>
    <w:p w14:paraId="4E6E5C6F">
      <w:pPr>
        <w:jc w:val="left"/>
        <w:rPr>
          <w:rFonts w:ascii="黑体" w:hAnsi="黑体" w:eastAsia="黑体"/>
          <w:szCs w:val="21"/>
        </w:rPr>
      </w:pPr>
      <w:r>
        <w:rPr>
          <w:rFonts w:hint="eastAsia" w:ascii="黑体" w:hAnsi="黑体" w:eastAsia="黑体"/>
          <w:szCs w:val="21"/>
        </w:rPr>
        <w:t>5.5  电气要求</w:t>
      </w:r>
    </w:p>
    <w:p w14:paraId="51B386D4">
      <w:pPr>
        <w:jc w:val="left"/>
        <w:rPr>
          <w:rFonts w:ascii="宋体" w:hAnsi="宋体"/>
          <w:szCs w:val="21"/>
        </w:rPr>
      </w:pPr>
      <w:r>
        <w:rPr>
          <w:rFonts w:hint="eastAsia" w:ascii="黑体" w:hAnsi="黑体" w:eastAsia="黑体"/>
          <w:szCs w:val="21"/>
        </w:rPr>
        <w:t>5.5.1</w:t>
      </w:r>
      <w:r>
        <w:rPr>
          <w:rFonts w:hint="eastAsia" w:ascii="宋体" w:hAnsi="宋体"/>
          <w:szCs w:val="21"/>
        </w:rPr>
        <w:t xml:space="preserve">  </w:t>
      </w:r>
      <w:r>
        <w:rPr>
          <w:rFonts w:hint="eastAsia" w:ascii="宋体" w:hAnsi="宋体"/>
          <w:spacing w:val="-3"/>
          <w:szCs w:val="21"/>
        </w:rPr>
        <w:t>设有电动装置的</w:t>
      </w:r>
      <w:r>
        <w:rPr>
          <w:rFonts w:hint="eastAsia" w:ascii="宋体" w:hAnsi="宋体"/>
          <w:szCs w:val="21"/>
        </w:rPr>
        <w:t>银</w:t>
      </w:r>
      <w:r>
        <w:rPr>
          <w:rFonts w:hint="eastAsia" w:ascii="宋体" w:hAnsi="宋体"/>
          <w:spacing w:val="-3"/>
          <w:szCs w:val="21"/>
        </w:rPr>
        <w:t>幕架，电源应设置漏电保护装置，控制电路应满足GB 8898-2011中第9章的要求。</w:t>
      </w:r>
    </w:p>
    <w:p w14:paraId="4C58D88F">
      <w:pPr>
        <w:jc w:val="left"/>
        <w:rPr>
          <w:rFonts w:ascii="宋体" w:hAnsi="宋体"/>
          <w:szCs w:val="21"/>
        </w:rPr>
      </w:pPr>
      <w:r>
        <w:rPr>
          <w:rFonts w:hint="eastAsia" w:ascii="黑体" w:hAnsi="黑体" w:eastAsia="黑体"/>
          <w:szCs w:val="21"/>
        </w:rPr>
        <w:t>5.5.2</w:t>
      </w:r>
      <w:r>
        <w:rPr>
          <w:rFonts w:hint="eastAsia" w:ascii="宋体" w:hAnsi="宋体"/>
          <w:szCs w:val="21"/>
        </w:rPr>
        <w:t xml:space="preserve">  银</w:t>
      </w:r>
      <w:r>
        <w:rPr>
          <w:rFonts w:hint="eastAsia" w:ascii="宋体" w:hAnsi="宋体"/>
          <w:spacing w:val="-3"/>
          <w:szCs w:val="21"/>
        </w:rPr>
        <w:t>幕架</w:t>
      </w:r>
      <w:r>
        <w:rPr>
          <w:rFonts w:hint="eastAsia" w:ascii="宋体" w:hAnsi="宋体"/>
          <w:szCs w:val="21"/>
        </w:rPr>
        <w:t>TMS接口，用于和影院控制系统对接，实现自动控制。</w:t>
      </w:r>
    </w:p>
    <w:p w14:paraId="7480746C">
      <w:pPr>
        <w:jc w:val="left"/>
        <w:rPr>
          <w:rFonts w:ascii="宋体" w:hAnsi="宋体"/>
          <w:szCs w:val="21"/>
        </w:rPr>
      </w:pPr>
      <w:r>
        <w:rPr>
          <w:rFonts w:hint="eastAsia" w:ascii="黑体" w:hAnsi="黑体" w:eastAsia="黑体"/>
          <w:szCs w:val="21"/>
        </w:rPr>
        <w:t>5.5.3</w:t>
      </w:r>
      <w:r>
        <w:rPr>
          <w:rFonts w:hint="eastAsia" w:ascii="宋体" w:hAnsi="宋体"/>
          <w:szCs w:val="21"/>
        </w:rPr>
        <w:t xml:space="preserve">  应在放映机机房设置画面制式转换控制按钮。</w:t>
      </w:r>
    </w:p>
    <w:p w14:paraId="5923FD78">
      <w:pPr>
        <w:tabs>
          <w:tab w:val="left" w:pos="438"/>
        </w:tabs>
        <w:rPr>
          <w:rFonts w:ascii="黑体" w:eastAsia="黑体"/>
          <w:szCs w:val="21"/>
        </w:rPr>
      </w:pPr>
      <w:r>
        <w:rPr>
          <w:rFonts w:hint="eastAsia" w:ascii="黑体" w:eastAsia="黑体"/>
          <w:szCs w:val="21"/>
        </w:rPr>
        <w:t>5.6  远程控制系统</w:t>
      </w:r>
    </w:p>
    <w:p w14:paraId="1E8AE226">
      <w:pPr>
        <w:tabs>
          <w:tab w:val="left" w:pos="438"/>
        </w:tabs>
        <w:rPr>
          <w:rFonts w:ascii="黑体" w:eastAsia="黑体"/>
          <w:szCs w:val="21"/>
        </w:rPr>
      </w:pPr>
      <w:r>
        <w:rPr>
          <w:rFonts w:hint="eastAsia" w:ascii="黑体" w:eastAsia="黑体"/>
          <w:szCs w:val="21"/>
        </w:rPr>
        <w:t xml:space="preserve">5.6.1  </w:t>
      </w:r>
      <w:r>
        <w:rPr>
          <w:rFonts w:hint="eastAsia" w:ascii="宋体" w:hAnsi="宋体"/>
          <w:szCs w:val="21"/>
        </w:rPr>
        <w:t>遥控电路及自动控制电路(TMS)所控制的任何单元，一旦控制失灵应立即停止工作。</w:t>
      </w:r>
    </w:p>
    <w:p w14:paraId="5788F996">
      <w:pPr>
        <w:tabs>
          <w:tab w:val="left" w:pos="438"/>
        </w:tabs>
        <w:rPr>
          <w:rFonts w:ascii="宋体" w:hAnsi="宋体"/>
          <w:szCs w:val="21"/>
        </w:rPr>
      </w:pPr>
      <w:r>
        <w:rPr>
          <w:rFonts w:hint="eastAsia" w:ascii="黑体" w:eastAsia="黑体"/>
          <w:szCs w:val="21"/>
        </w:rPr>
        <w:t xml:space="preserve">5.6.2  </w:t>
      </w:r>
      <w:r>
        <w:rPr>
          <w:rFonts w:hint="eastAsia" w:ascii="宋体" w:hAnsi="宋体"/>
          <w:szCs w:val="21"/>
        </w:rPr>
        <w:t>远程控制通讯协议应包括射频无线、MPI/IP等其中一项或多项，射频无线控制的操纵距离不应小于放映距离，且临近影厅不得相互干扰。</w:t>
      </w:r>
    </w:p>
    <w:p w14:paraId="713D7263">
      <w:pPr>
        <w:tabs>
          <w:tab w:val="left" w:pos="438"/>
        </w:tabs>
        <w:rPr>
          <w:rFonts w:ascii="黑体" w:eastAsia="黑体"/>
          <w:szCs w:val="21"/>
        </w:rPr>
      </w:pPr>
      <w:r>
        <w:rPr>
          <w:rFonts w:hint="eastAsia" w:ascii="黑体" w:eastAsia="黑体"/>
          <w:szCs w:val="21"/>
        </w:rPr>
        <w:t>5.7  银幕架系统工作效果</w:t>
      </w:r>
    </w:p>
    <w:p w14:paraId="0127A53B">
      <w:pPr>
        <w:tabs>
          <w:tab w:val="left" w:pos="438"/>
        </w:tabs>
        <w:rPr>
          <w:rFonts w:ascii="黑体" w:eastAsia="黑体"/>
          <w:szCs w:val="21"/>
        </w:rPr>
      </w:pPr>
      <w:r>
        <w:rPr>
          <w:rFonts w:hint="eastAsia" w:ascii="黑体" w:eastAsia="黑体"/>
          <w:szCs w:val="21"/>
        </w:rPr>
        <w:t xml:space="preserve">5.7.1  </w:t>
      </w:r>
      <w:r>
        <w:rPr>
          <w:rFonts w:hint="eastAsia" w:ascii="宋体" w:hAnsi="宋体"/>
          <w:szCs w:val="21"/>
        </w:rPr>
        <w:t>使用激光光源放映电影时，银幕架系统与银幕配套工作后，激光散斑不应影响观影效果。</w:t>
      </w:r>
    </w:p>
    <w:p w14:paraId="2A62E78D">
      <w:pPr>
        <w:tabs>
          <w:tab w:val="left" w:pos="438"/>
        </w:tabs>
        <w:rPr>
          <w:rFonts w:ascii="黑体" w:eastAsia="黑体"/>
          <w:szCs w:val="21"/>
        </w:rPr>
      </w:pPr>
      <w:r>
        <w:rPr>
          <w:rFonts w:hint="eastAsia" w:ascii="黑体" w:eastAsia="黑体"/>
          <w:szCs w:val="21"/>
        </w:rPr>
        <w:t xml:space="preserve">5.7.2  </w:t>
      </w:r>
      <w:r>
        <w:rPr>
          <w:rFonts w:hint="eastAsia" w:ascii="宋体" w:hAnsi="宋体"/>
          <w:szCs w:val="21"/>
        </w:rPr>
        <w:t>银幕架系统正常工作银幕不应出现松弛，银幕架固定件或振动件不应出现损坏。</w:t>
      </w:r>
    </w:p>
    <w:p w14:paraId="646FE686">
      <w:pPr>
        <w:tabs>
          <w:tab w:val="left" w:pos="438"/>
        </w:tabs>
        <w:rPr>
          <w:rFonts w:ascii="黑体" w:eastAsia="黑体"/>
          <w:szCs w:val="21"/>
        </w:rPr>
      </w:pPr>
      <w:r>
        <w:rPr>
          <w:rFonts w:hint="eastAsia" w:ascii="黑体" w:eastAsia="黑体"/>
          <w:szCs w:val="21"/>
        </w:rPr>
        <w:t>5.8  噪声</w:t>
      </w:r>
    </w:p>
    <w:p w14:paraId="2AAA1D3F">
      <w:pPr>
        <w:tabs>
          <w:tab w:val="left" w:pos="9198"/>
        </w:tabs>
        <w:rPr>
          <w:rFonts w:ascii="黑体" w:hAnsi="黑体" w:eastAsia="黑体"/>
          <w:color w:val="auto"/>
          <w:szCs w:val="21"/>
        </w:rPr>
      </w:pPr>
      <w:r>
        <w:rPr>
          <w:rFonts w:hint="eastAsia" w:ascii="黑体" w:hAnsi="黑体" w:eastAsia="黑体"/>
          <w:szCs w:val="21"/>
        </w:rPr>
        <w:t xml:space="preserve">5.8.1  </w:t>
      </w:r>
      <w:r>
        <w:rPr>
          <w:rFonts w:hint="eastAsia" w:ascii="宋体" w:hAnsi="宋体"/>
          <w:szCs w:val="21"/>
        </w:rPr>
        <w:t>不与电影放映同时运行的设备如电动黑框，其运行噪声不应大于</w:t>
      </w:r>
      <w:r>
        <w:rPr>
          <w:rFonts w:hint="eastAsia" w:ascii="宋体" w:hAnsi="宋体"/>
          <w:color w:val="auto"/>
          <w:szCs w:val="21"/>
        </w:rPr>
        <w:t>48</w:t>
      </w:r>
      <w:r>
        <w:rPr>
          <w:rFonts w:hint="eastAsia" w:ascii="宋体" w:hAnsi="宋体"/>
          <w:color w:val="auto"/>
          <w:szCs w:val="21"/>
          <w:lang w:val="en-US" w:eastAsia="zh-CN"/>
        </w:rPr>
        <w:t xml:space="preserve"> </w:t>
      </w:r>
      <w:r>
        <w:rPr>
          <w:rFonts w:hint="eastAsia" w:ascii="宋体" w:hAnsi="宋体"/>
          <w:color w:val="auto"/>
          <w:szCs w:val="21"/>
        </w:rPr>
        <w:t>dB。</w:t>
      </w:r>
    </w:p>
    <w:p w14:paraId="61DF4ED6">
      <w:pPr>
        <w:tabs>
          <w:tab w:val="left" w:pos="9198"/>
        </w:tabs>
        <w:rPr>
          <w:rFonts w:ascii="黑体" w:hAnsi="黑体" w:eastAsia="黑体"/>
          <w:color w:val="auto"/>
          <w:szCs w:val="21"/>
        </w:rPr>
      </w:pPr>
      <w:r>
        <w:rPr>
          <w:rFonts w:hint="eastAsia" w:ascii="黑体" w:hAnsi="黑体" w:eastAsia="黑体"/>
          <w:color w:val="auto"/>
          <w:szCs w:val="21"/>
        </w:rPr>
        <w:t xml:space="preserve">5.8.2  </w:t>
      </w:r>
      <w:r>
        <w:rPr>
          <w:rFonts w:hint="eastAsia" w:ascii="宋体" w:hAnsi="宋体"/>
          <w:color w:val="auto"/>
          <w:szCs w:val="21"/>
        </w:rPr>
        <w:t>与电影放映同时运行的设备如振动单元，其运行噪声不应大于38</w:t>
      </w:r>
      <w:r>
        <w:rPr>
          <w:rFonts w:hint="eastAsia" w:ascii="宋体" w:hAnsi="宋体"/>
          <w:color w:val="auto"/>
          <w:szCs w:val="21"/>
          <w:lang w:val="en-US" w:eastAsia="zh-CN"/>
        </w:rPr>
        <w:t xml:space="preserve"> </w:t>
      </w:r>
      <w:r>
        <w:rPr>
          <w:rFonts w:hint="eastAsia" w:ascii="宋体" w:hAnsi="宋体"/>
          <w:color w:val="auto"/>
          <w:szCs w:val="21"/>
        </w:rPr>
        <w:t>dB。</w:t>
      </w:r>
    </w:p>
    <w:p w14:paraId="2C1236F7">
      <w:pPr>
        <w:tabs>
          <w:tab w:val="left" w:pos="438"/>
        </w:tabs>
        <w:rPr>
          <w:rFonts w:ascii="黑体" w:eastAsia="黑体"/>
          <w:szCs w:val="21"/>
        </w:rPr>
      </w:pPr>
      <w:r>
        <w:rPr>
          <w:rFonts w:hint="eastAsia" w:ascii="黑体" w:eastAsia="黑体"/>
          <w:szCs w:val="21"/>
        </w:rPr>
        <w:t>5.9  振动单元的安全保护装置</w:t>
      </w:r>
    </w:p>
    <w:p w14:paraId="392AEB83">
      <w:pPr>
        <w:tabs>
          <w:tab w:val="left" w:pos="438"/>
        </w:tabs>
        <w:ind w:firstLine="438" w:firstLineChars="200"/>
        <w:rPr>
          <w:rFonts w:ascii="宋体" w:hAnsi="宋体"/>
          <w:szCs w:val="21"/>
        </w:rPr>
      </w:pPr>
      <w:r>
        <w:rPr>
          <w:rFonts w:hint="eastAsia" w:ascii="宋体" w:hAnsi="宋体"/>
          <w:szCs w:val="21"/>
        </w:rPr>
        <w:t>银幕架系统的振动单元应有机械和电气安全保护装置。</w:t>
      </w:r>
    </w:p>
    <w:p w14:paraId="134C71D0">
      <w:pPr>
        <w:jc w:val="left"/>
        <w:rPr>
          <w:rFonts w:ascii="黑体" w:hAnsi="黑体" w:eastAsia="黑体"/>
          <w:szCs w:val="21"/>
        </w:rPr>
      </w:pPr>
      <w:r>
        <w:rPr>
          <w:rFonts w:hint="eastAsia" w:ascii="黑体" w:hAnsi="黑体" w:eastAsia="黑体"/>
          <w:szCs w:val="21"/>
        </w:rPr>
        <w:t>5.10  阻燃性</w:t>
      </w:r>
    </w:p>
    <w:p w14:paraId="0F10CD88">
      <w:pPr>
        <w:ind w:firstLine="438" w:firstLineChars="200"/>
        <w:jc w:val="left"/>
        <w:rPr>
          <w:rFonts w:ascii="宋体" w:hAnsi="宋体"/>
          <w:szCs w:val="21"/>
        </w:rPr>
      </w:pPr>
      <w:r>
        <w:rPr>
          <w:rFonts w:hint="eastAsia" w:ascii="宋体" w:hAnsi="宋体"/>
          <w:szCs w:val="21"/>
        </w:rPr>
        <w:t>银幕架系统使用材料应阻燃，应达到GB 8624-2012中B1级阻燃要求。</w:t>
      </w:r>
    </w:p>
    <w:p w14:paraId="52D93BD7">
      <w:pPr>
        <w:widowControl/>
        <w:jc w:val="left"/>
        <w:rPr>
          <w:rFonts w:ascii="宋体" w:hAnsi="宋体" w:cs="宋体"/>
          <w:kern w:val="0"/>
          <w:sz w:val="18"/>
          <w:szCs w:val="18"/>
        </w:rPr>
      </w:pPr>
      <w:r>
        <w:rPr>
          <w:rFonts w:hint="eastAsia" w:ascii="宋体" w:hAnsi="宋体" w:cs="宋体"/>
          <w:kern w:val="0"/>
          <w:sz w:val="18"/>
          <w:szCs w:val="18"/>
        </w:rPr>
        <w:t>4</w:t>
      </w:r>
    </w:p>
    <w:p w14:paraId="39AF7A96">
      <w:pPr>
        <w:jc w:val="right"/>
        <w:rPr>
          <w:rFonts w:ascii="黑体" w:hAnsi="宋体" w:eastAsia="黑体"/>
          <w:szCs w:val="21"/>
        </w:rPr>
      </w:pPr>
      <w:r>
        <w:rPr>
          <w:rFonts w:hint="eastAsia" w:ascii="黑体" w:hAnsi="宋体" w:eastAsia="黑体"/>
          <w:szCs w:val="21"/>
        </w:rPr>
        <w:t>JB/T ××××-××××</w:t>
      </w:r>
    </w:p>
    <w:p w14:paraId="0FB3EC44">
      <w:pPr>
        <w:jc w:val="left"/>
        <w:rPr>
          <w:rFonts w:hint="eastAsia" w:ascii="黑体" w:hAnsi="黑体" w:eastAsia="黑体"/>
          <w:spacing w:val="-2"/>
          <w:szCs w:val="21"/>
        </w:rPr>
      </w:pPr>
    </w:p>
    <w:p w14:paraId="1086D987">
      <w:pPr>
        <w:jc w:val="left"/>
        <w:rPr>
          <w:rFonts w:ascii="黑体" w:hAnsi="黑体" w:eastAsia="黑体"/>
          <w:spacing w:val="-2"/>
          <w:szCs w:val="21"/>
        </w:rPr>
      </w:pPr>
      <w:r>
        <w:rPr>
          <w:rFonts w:hint="eastAsia" w:ascii="黑体" w:hAnsi="黑体" w:eastAsia="黑体"/>
          <w:spacing w:val="-2"/>
          <w:szCs w:val="21"/>
        </w:rPr>
        <w:t xml:space="preserve">6  试验方法 </w:t>
      </w:r>
    </w:p>
    <w:p w14:paraId="3889DD92">
      <w:pPr>
        <w:jc w:val="left"/>
        <w:rPr>
          <w:rFonts w:ascii="黑体" w:hAnsi="黑体" w:eastAsia="黑体"/>
          <w:spacing w:val="-2"/>
          <w:szCs w:val="21"/>
        </w:rPr>
      </w:pPr>
    </w:p>
    <w:p w14:paraId="5899A00C">
      <w:pPr>
        <w:jc w:val="left"/>
        <w:rPr>
          <w:rFonts w:ascii="黑体" w:hAnsi="黑体" w:eastAsia="黑体"/>
          <w:spacing w:val="-2"/>
          <w:szCs w:val="21"/>
        </w:rPr>
      </w:pPr>
      <w:r>
        <w:rPr>
          <w:rFonts w:hint="eastAsia" w:ascii="黑体" w:hAnsi="黑体" w:eastAsia="黑体"/>
          <w:spacing w:val="-2"/>
          <w:szCs w:val="21"/>
        </w:rPr>
        <w:t>6.1  外观</w:t>
      </w:r>
    </w:p>
    <w:p w14:paraId="0E15FA79">
      <w:pPr>
        <w:jc w:val="left"/>
        <w:rPr>
          <w:rFonts w:ascii="宋体" w:hAnsi="宋体"/>
          <w:spacing w:val="-2"/>
          <w:szCs w:val="21"/>
          <w:highlight w:val="yellow"/>
        </w:rPr>
      </w:pPr>
      <w:r>
        <w:rPr>
          <w:rFonts w:hint="eastAsia" w:ascii="黑体" w:hAnsi="黑体" w:eastAsia="黑体"/>
          <w:spacing w:val="-2"/>
          <w:szCs w:val="21"/>
        </w:rPr>
        <w:t xml:space="preserve">6.1.1  </w:t>
      </w:r>
      <w:r>
        <w:rPr>
          <w:rFonts w:hint="eastAsia" w:ascii="宋体" w:hAnsi="宋体"/>
          <w:spacing w:val="-2"/>
          <w:szCs w:val="21"/>
        </w:rPr>
        <w:t>目视检查。</w:t>
      </w:r>
    </w:p>
    <w:p w14:paraId="38C9BAD0">
      <w:pPr>
        <w:tabs>
          <w:tab w:val="left" w:pos="9198"/>
        </w:tabs>
        <w:rPr>
          <w:rFonts w:ascii="黑体" w:hAnsi="黑体" w:eastAsia="黑体"/>
          <w:szCs w:val="21"/>
        </w:rPr>
      </w:pPr>
      <w:r>
        <w:rPr>
          <w:rFonts w:hint="eastAsia" w:ascii="黑体" w:hAnsi="黑体" w:eastAsia="黑体"/>
          <w:szCs w:val="21"/>
        </w:rPr>
        <w:t xml:space="preserve">6.1.2  </w:t>
      </w:r>
      <w:r>
        <w:rPr>
          <w:rFonts w:hint="eastAsia" w:ascii="宋体" w:hAnsi="宋体"/>
          <w:szCs w:val="21"/>
        </w:rPr>
        <w:t>涂层附着力按GB/T 9286-2021中的试验方法进行。</w:t>
      </w:r>
    </w:p>
    <w:p w14:paraId="73E1030C">
      <w:pPr>
        <w:jc w:val="left"/>
        <w:rPr>
          <w:rFonts w:ascii="黑体" w:hAnsi="黑体" w:eastAsia="黑体"/>
          <w:szCs w:val="21"/>
        </w:rPr>
      </w:pPr>
      <w:r>
        <w:rPr>
          <w:rFonts w:hint="eastAsia" w:ascii="黑体" w:hAnsi="黑体" w:eastAsia="黑体"/>
          <w:szCs w:val="21"/>
        </w:rPr>
        <w:t xml:space="preserve">6.2 视线超高值(c值) </w:t>
      </w:r>
    </w:p>
    <w:p w14:paraId="3D3ABC4E">
      <w:pPr>
        <w:ind w:firstLine="438" w:firstLineChars="200"/>
        <w:jc w:val="left"/>
        <w:rPr>
          <w:rFonts w:ascii="宋体" w:hAnsi="宋体"/>
          <w:szCs w:val="21"/>
        </w:rPr>
      </w:pPr>
      <w:r>
        <w:rPr>
          <w:rFonts w:hint="eastAsia" w:ascii="宋体" w:hAnsi="宋体"/>
          <w:szCs w:val="21"/>
        </w:rPr>
        <w:t>视线超高值(c值)的测量方法如下：</w:t>
      </w:r>
    </w:p>
    <w:p w14:paraId="23F621CD">
      <w:pPr>
        <w:ind w:left="759" w:leftChars="200" w:hanging="321" w:hangingChars="147"/>
        <w:jc w:val="left"/>
        <w:rPr>
          <w:rFonts w:ascii="宋体" w:hAnsi="宋体"/>
          <w:szCs w:val="21"/>
        </w:rPr>
      </w:pPr>
      <w:r>
        <w:rPr>
          <w:rFonts w:hint="eastAsia" w:ascii="宋体" w:hAnsi="宋体"/>
          <w:szCs w:val="21"/>
        </w:rPr>
        <w:t>a) 从选定的座椅靠背后缘离该座椅地面1.15m(人体坐姿时眼睛至地面的统计高度)处发射一束激光束到最低设计视点；</w:t>
      </w:r>
    </w:p>
    <w:p w14:paraId="3A569356">
      <w:pPr>
        <w:ind w:left="759" w:leftChars="200" w:hanging="321" w:hangingChars="147"/>
        <w:jc w:val="left"/>
        <w:rPr>
          <w:rFonts w:ascii="宋体" w:hAnsi="宋体"/>
          <w:szCs w:val="21"/>
        </w:rPr>
      </w:pPr>
      <w:r>
        <w:rPr>
          <w:rFonts w:hint="eastAsia" w:ascii="宋体" w:hAnsi="宋体"/>
          <w:szCs w:val="21"/>
        </w:rPr>
        <w:t>b) 将钢直尺垂直竖立在激光测距仪所在排的前一排座椅后背的后边缘，测出激光束离该处地面的高度，减去1.15m即为该两排座椅间的视线超高值；</w:t>
      </w:r>
    </w:p>
    <w:p w14:paraId="5E8D294B">
      <w:pPr>
        <w:ind w:left="759" w:leftChars="200" w:hanging="321" w:hangingChars="147"/>
        <w:jc w:val="left"/>
        <w:rPr>
          <w:rFonts w:ascii="宋体" w:hAnsi="宋体"/>
          <w:szCs w:val="21"/>
        </w:rPr>
      </w:pPr>
      <w:r>
        <w:rPr>
          <w:rFonts w:hint="eastAsia" w:ascii="宋体" w:hAnsi="宋体"/>
          <w:szCs w:val="21"/>
        </w:rPr>
        <w:t>c) 在每个观众厅测量中轴线上前、中、后三个位置的视线超高值，取最小的值即为c值。</w:t>
      </w:r>
    </w:p>
    <w:p w14:paraId="5B06C866">
      <w:pPr>
        <w:jc w:val="left"/>
        <w:rPr>
          <w:rFonts w:ascii="黑体" w:hAnsi="黑体" w:eastAsia="黑体"/>
          <w:szCs w:val="21"/>
        </w:rPr>
      </w:pPr>
      <w:r>
        <w:rPr>
          <w:rFonts w:hint="eastAsia" w:ascii="黑体" w:hAnsi="黑体" w:eastAsia="黑体"/>
          <w:szCs w:val="21"/>
        </w:rPr>
        <w:t>6.3  垂直放映角</w:t>
      </w:r>
    </w:p>
    <w:p w14:paraId="6D1116E9">
      <w:pPr>
        <w:ind w:firstLine="374" w:firstLineChars="171"/>
        <w:jc w:val="left"/>
        <w:rPr>
          <w:rFonts w:ascii="宋体" w:hAnsi="宋体"/>
          <w:szCs w:val="21"/>
        </w:rPr>
      </w:pPr>
      <w:r>
        <w:rPr>
          <w:rFonts w:hint="eastAsia" w:ascii="宋体" w:hAnsi="宋体"/>
          <w:szCs w:val="21"/>
        </w:rPr>
        <w:t>垂直放映角的测量方法如下：</w:t>
      </w:r>
    </w:p>
    <w:p w14:paraId="468D86D4">
      <w:pPr>
        <w:ind w:firstLine="374" w:firstLineChars="171"/>
        <w:jc w:val="left"/>
        <w:rPr>
          <w:rFonts w:ascii="宋体" w:hAnsi="宋体"/>
          <w:szCs w:val="21"/>
        </w:rPr>
      </w:pPr>
      <w:r>
        <w:rPr>
          <w:rFonts w:hint="eastAsia" w:ascii="宋体" w:hAnsi="宋体"/>
          <w:szCs w:val="21"/>
        </w:rPr>
        <w:t>a) 在放映机地脚处，沿放映机光轴方向水平放置一水平尺；</w:t>
      </w:r>
    </w:p>
    <w:p w14:paraId="432EDBB5">
      <w:pPr>
        <w:ind w:firstLine="374" w:firstLineChars="171"/>
        <w:jc w:val="left"/>
        <w:rPr>
          <w:rFonts w:ascii="宋体" w:hAnsi="宋体"/>
          <w:szCs w:val="21"/>
        </w:rPr>
      </w:pPr>
      <w:r>
        <w:rPr>
          <w:rFonts w:hint="eastAsia" w:ascii="宋体" w:hAnsi="宋体"/>
          <w:szCs w:val="21"/>
        </w:rPr>
        <w:t>b) 确定放映机的光轴调试基准面；</w:t>
      </w:r>
    </w:p>
    <w:p w14:paraId="02BBC44E">
      <w:pPr>
        <w:ind w:firstLine="374" w:firstLineChars="171"/>
        <w:jc w:val="left"/>
        <w:rPr>
          <w:rFonts w:ascii="宋体" w:hAnsi="宋体"/>
          <w:spacing w:val="-6"/>
          <w:szCs w:val="21"/>
        </w:rPr>
      </w:pPr>
      <w:r>
        <w:rPr>
          <w:rFonts w:hint="eastAsia" w:ascii="宋体" w:hAnsi="宋体"/>
          <w:szCs w:val="21"/>
        </w:rPr>
        <w:t>c) 从</w:t>
      </w:r>
      <w:r>
        <w:rPr>
          <w:rFonts w:hint="eastAsia" w:ascii="宋体" w:hAnsi="宋体"/>
          <w:spacing w:val="-6"/>
          <w:szCs w:val="21"/>
        </w:rPr>
        <w:t>放置水平尺的基准面一侧选取前、后两点、分别测量前点、后点到水平尺之间的垂直距离H1、H2；</w:t>
      </w:r>
    </w:p>
    <w:p w14:paraId="4F5AB54F">
      <w:pPr>
        <w:ind w:firstLine="374" w:firstLineChars="171"/>
        <w:jc w:val="left"/>
        <w:rPr>
          <w:rFonts w:ascii="宋体" w:hAnsi="宋体"/>
          <w:szCs w:val="21"/>
        </w:rPr>
      </w:pPr>
      <w:r>
        <w:rPr>
          <w:rFonts w:hint="eastAsia" w:ascii="宋体" w:hAnsi="宋体"/>
          <w:szCs w:val="21"/>
        </w:rPr>
        <w:t>d) 量取前、后两点之间的距离L；</w:t>
      </w:r>
    </w:p>
    <w:p w14:paraId="58393081">
      <w:pPr>
        <w:ind w:firstLine="374" w:firstLineChars="171"/>
        <w:jc w:val="left"/>
        <w:rPr>
          <w:rFonts w:ascii="宋体" w:hAnsi="宋体"/>
          <w:szCs w:val="21"/>
        </w:rPr>
      </w:pPr>
      <w:r>
        <w:rPr>
          <w:rFonts w:hint="eastAsia" w:ascii="宋体" w:hAnsi="宋体"/>
          <w:szCs w:val="21"/>
        </w:rPr>
        <w:t>e) 按照α=arcsin (｜H2－H1｜/L)计算，得出的角度即为放映机的垂直放映角，如图3所示。</w:t>
      </w:r>
    </w:p>
    <w:p w14:paraId="43FE8CE8">
      <w:pPr>
        <w:jc w:val="center"/>
        <w:rPr>
          <w:rFonts w:ascii="宋体" w:hAnsi="宋体"/>
          <w:szCs w:val="21"/>
        </w:rPr>
      </w:pPr>
      <w:r>
        <w:rPr>
          <w:rFonts w:hint="eastAsia" w:ascii="宋体" w:hAnsi="宋体"/>
          <w:szCs w:val="21"/>
        </w:rPr>
        <w:drawing>
          <wp:inline distT="0" distB="0" distL="0" distR="0">
            <wp:extent cx="4832985" cy="2469515"/>
            <wp:effectExtent l="0" t="0" r="5715" b="6985"/>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noChangeArrowheads="1"/>
                    </pic:cNvPicPr>
                  </pic:nvPicPr>
                  <pic:blipFill>
                    <a:blip r:embed="rId6" cstate="print"/>
                    <a:srcRect/>
                    <a:stretch>
                      <a:fillRect/>
                    </a:stretch>
                  </pic:blipFill>
                  <pic:spPr>
                    <a:xfrm>
                      <a:off x="0" y="0"/>
                      <a:ext cx="4832985" cy="2469515"/>
                    </a:xfrm>
                    <a:prstGeom prst="rect">
                      <a:avLst/>
                    </a:prstGeom>
                    <a:noFill/>
                    <a:ln w="9525" cmpd="sng">
                      <a:noFill/>
                      <a:miter lim="800000"/>
                      <a:headEnd/>
                      <a:tailEnd/>
                    </a:ln>
                  </pic:spPr>
                </pic:pic>
              </a:graphicData>
            </a:graphic>
          </wp:inline>
        </w:drawing>
      </w:r>
    </w:p>
    <w:p w14:paraId="0B42082A">
      <w:pPr>
        <w:jc w:val="center"/>
        <w:rPr>
          <w:rFonts w:ascii="黑体" w:hAnsi="宋体" w:eastAsia="黑体"/>
          <w:szCs w:val="21"/>
        </w:rPr>
      </w:pPr>
      <w:r>
        <w:rPr>
          <w:rFonts w:hint="eastAsia" w:ascii="黑体" w:hAnsi="宋体" w:eastAsia="黑体"/>
          <w:szCs w:val="21"/>
        </w:rPr>
        <w:t>图3</w:t>
      </w:r>
    </w:p>
    <w:p w14:paraId="71B5AC8E">
      <w:pPr>
        <w:tabs>
          <w:tab w:val="left" w:pos="5670"/>
        </w:tabs>
        <w:adjustRightInd w:val="0"/>
        <w:snapToGrid w:val="0"/>
        <w:ind w:left="338" w:hanging="338" w:hangingChars="179"/>
        <w:jc w:val="right"/>
        <w:rPr>
          <w:rFonts w:ascii="宋体" w:hAnsi="宋体"/>
          <w:sz w:val="18"/>
          <w:szCs w:val="18"/>
        </w:rPr>
      </w:pPr>
    </w:p>
    <w:p w14:paraId="3B608A16">
      <w:pPr>
        <w:rPr>
          <w:rFonts w:ascii="黑体" w:hAnsi="黑体" w:eastAsia="黑体"/>
          <w:szCs w:val="21"/>
        </w:rPr>
      </w:pPr>
      <w:r>
        <w:rPr>
          <w:rFonts w:hint="eastAsia" w:ascii="黑体" w:hAnsi="黑体" w:eastAsia="黑体"/>
          <w:szCs w:val="21"/>
        </w:rPr>
        <w:t xml:space="preserve">6.4  亮度均匀度                                                                      </w:t>
      </w:r>
    </w:p>
    <w:p w14:paraId="18A4DBAF">
      <w:pPr>
        <w:ind w:firstLine="438" w:firstLineChars="200"/>
        <w:jc w:val="left"/>
        <w:rPr>
          <w:rFonts w:ascii="宋体" w:hAnsi="宋体"/>
          <w:szCs w:val="21"/>
        </w:rPr>
      </w:pPr>
      <w:r>
        <w:rPr>
          <w:rFonts w:hint="eastAsia" w:ascii="宋体" w:hAnsi="宋体"/>
          <w:szCs w:val="21"/>
        </w:rPr>
        <w:t>按照</w:t>
      </w:r>
      <w:r>
        <w:rPr>
          <w:rFonts w:ascii="宋体" w:hAnsi="宋体"/>
          <w:szCs w:val="21"/>
        </w:rPr>
        <w:t>GB/T</w:t>
      </w:r>
      <w:r>
        <w:rPr>
          <w:rFonts w:hint="eastAsia" w:ascii="宋体" w:hAnsi="宋体"/>
          <w:szCs w:val="21"/>
        </w:rPr>
        <w:t xml:space="preserve"> </w:t>
      </w:r>
      <w:r>
        <w:rPr>
          <w:rFonts w:ascii="宋体" w:hAnsi="宋体"/>
          <w:szCs w:val="21"/>
        </w:rPr>
        <w:t>21048</w:t>
      </w:r>
      <w:r>
        <w:rPr>
          <w:rFonts w:hint="eastAsia" w:ascii="宋体" w:hAnsi="宋体"/>
          <w:szCs w:val="21"/>
        </w:rPr>
        <w:t>-</w:t>
      </w:r>
      <w:r>
        <w:rPr>
          <w:rFonts w:ascii="宋体" w:hAnsi="宋体"/>
          <w:szCs w:val="21"/>
        </w:rPr>
        <w:t>2007</w:t>
      </w:r>
      <w:r>
        <w:rPr>
          <w:rFonts w:hint="eastAsia" w:ascii="宋体" w:hAnsi="宋体"/>
          <w:szCs w:val="21"/>
        </w:rPr>
        <w:t>中的</w:t>
      </w:r>
      <w:r>
        <w:rPr>
          <w:rFonts w:ascii="宋体" w:hAnsi="宋体"/>
          <w:szCs w:val="21"/>
        </w:rPr>
        <w:t>7.2.2.2.2</w:t>
      </w:r>
      <w:r>
        <w:rPr>
          <w:rFonts w:hint="eastAsia" w:ascii="宋体" w:hAnsi="宋体"/>
          <w:szCs w:val="21"/>
        </w:rPr>
        <w:t>进行测量。</w:t>
      </w:r>
    </w:p>
    <w:p w14:paraId="5C8410C7">
      <w:pPr>
        <w:jc w:val="left"/>
        <w:rPr>
          <w:rFonts w:ascii="黑体" w:hAnsi="黑体" w:eastAsia="黑体"/>
          <w:szCs w:val="21"/>
        </w:rPr>
      </w:pPr>
      <w:r>
        <w:rPr>
          <w:rFonts w:hint="eastAsia" w:ascii="黑体" w:hAnsi="黑体" w:eastAsia="黑体"/>
          <w:szCs w:val="21"/>
        </w:rPr>
        <w:t>6.5  荷载</w:t>
      </w:r>
    </w:p>
    <w:p w14:paraId="73065080">
      <w:pPr>
        <w:ind w:firstLine="438" w:firstLineChars="200"/>
        <w:jc w:val="left"/>
        <w:rPr>
          <w:rFonts w:ascii="宋体" w:hAnsi="宋体"/>
          <w:szCs w:val="21"/>
        </w:rPr>
      </w:pPr>
      <w:r>
        <w:rPr>
          <w:rFonts w:hint="eastAsia" w:ascii="宋体" w:hAnsi="宋体"/>
          <w:szCs w:val="21"/>
        </w:rPr>
        <w:t>对设计数据进行复核。</w:t>
      </w:r>
    </w:p>
    <w:p w14:paraId="417389F4">
      <w:pPr>
        <w:jc w:val="left"/>
        <w:rPr>
          <w:rFonts w:ascii="黑体" w:hAnsi="黑体" w:eastAsia="黑体"/>
          <w:szCs w:val="21"/>
        </w:rPr>
      </w:pPr>
      <w:r>
        <w:rPr>
          <w:rFonts w:hint="eastAsia" w:ascii="黑体" w:hAnsi="黑体" w:eastAsia="黑体"/>
          <w:szCs w:val="21"/>
        </w:rPr>
        <w:t>6.6  抗倾覆安全系数</w:t>
      </w:r>
    </w:p>
    <w:p w14:paraId="73A68945">
      <w:pPr>
        <w:ind w:firstLine="438" w:firstLineChars="200"/>
        <w:jc w:val="left"/>
        <w:rPr>
          <w:rFonts w:ascii="宋体" w:hAnsi="宋体"/>
          <w:szCs w:val="21"/>
        </w:rPr>
      </w:pPr>
      <w:r>
        <w:rPr>
          <w:rFonts w:hint="eastAsia" w:ascii="宋体" w:hAnsi="宋体"/>
          <w:szCs w:val="21"/>
        </w:rPr>
        <w:t>银幕架的一般受力情况如图4所示，抗倾覆安全系数</w:t>
      </w:r>
      <w:r>
        <w:rPr>
          <w:rFonts w:hint="eastAsia" w:ascii="宋体" w:hAnsi="宋体"/>
          <w:i/>
          <w:szCs w:val="21"/>
        </w:rPr>
        <w:t>K</w:t>
      </w:r>
      <w:r>
        <w:rPr>
          <w:rFonts w:hint="eastAsia" w:ascii="宋体" w:hAnsi="宋体"/>
          <w:szCs w:val="21"/>
        </w:rPr>
        <w:t>按公式(1)进行计算。该公式为简化公式，设计应根据实际受力情况进行调整。</w:t>
      </w:r>
    </w:p>
    <w:p w14:paraId="3130F77C">
      <w:pPr>
        <w:tabs>
          <w:tab w:val="left" w:pos="5670"/>
        </w:tabs>
        <w:adjustRightInd w:val="0"/>
        <w:snapToGrid w:val="0"/>
        <w:ind w:left="392" w:hanging="391" w:hangingChars="179"/>
        <w:jc w:val="right"/>
        <w:rPr>
          <w:rFonts w:ascii="宋体" w:hAnsi="宋体"/>
          <w:sz w:val="18"/>
          <w:szCs w:val="18"/>
        </w:rPr>
      </w:pPr>
      <w:r>
        <w:rPr>
          <w:rFonts w:hint="eastAsia" w:ascii="宋体" w:hAnsi="宋体"/>
          <w:szCs w:val="21"/>
        </w:rPr>
        <w:t xml:space="preserve">       </w:t>
      </w:r>
      <w:r>
        <w:rPr>
          <w:rFonts w:hint="eastAsia" w:ascii="宋体" w:hAnsi="宋体"/>
          <w:sz w:val="18"/>
          <w:szCs w:val="18"/>
        </w:rPr>
        <w:t>5</w:t>
      </w:r>
    </w:p>
    <w:p w14:paraId="3A44BF74">
      <w:pPr>
        <w:jc w:val="left"/>
        <w:rPr>
          <w:rFonts w:ascii="黑体" w:hAnsi="宋体" w:eastAsia="黑体"/>
          <w:szCs w:val="21"/>
        </w:rPr>
      </w:pPr>
      <w:r>
        <w:rPr>
          <w:rFonts w:hint="eastAsia" w:ascii="黑体" w:hAnsi="宋体" w:eastAsia="黑体"/>
          <w:szCs w:val="21"/>
        </w:rPr>
        <w:t>JB/T ××××-××××</w:t>
      </w:r>
    </w:p>
    <w:p w14:paraId="6F75638D">
      <w:pPr>
        <w:jc w:val="left"/>
        <w:rPr>
          <w:rFonts w:ascii="黑体" w:hAnsi="宋体" w:eastAsia="黑体"/>
          <w:szCs w:val="21"/>
        </w:rPr>
      </w:pPr>
    </w:p>
    <w:p w14:paraId="72CB95D9">
      <w:pPr>
        <w:spacing w:line="360" w:lineRule="auto"/>
        <w:jc w:val="center"/>
        <w:rPr>
          <w:rFonts w:ascii="宋体" w:hAnsi="宋体"/>
          <w:szCs w:val="21"/>
        </w:rPr>
      </w:pPr>
      <w:r>
        <w:rPr>
          <w:rFonts w:ascii="宋体" w:hAnsi="宋体"/>
          <w:szCs w:val="21"/>
        </w:rPr>
        <w:pict>
          <v:shape id="对象 23" o:spid="_x0000_s1066" o:spt="75" type="#_x0000_t75" style="position:absolute;left:0pt;margin-left:42.2pt;margin-top:-0.4pt;height:34pt;width:148.7pt;z-index:251659264;mso-width-relative:page;mso-height-relative:page;" o:ole="t" filled="f" o:preferrelative="t" stroked="f" coordsize="21600,21600">
            <v:path/>
            <v:fill on="f" focussize="0,0"/>
            <v:stroke on="f" joinstyle="miter"/>
            <v:imagedata r:id="rId8" o:title=""/>
            <o:lock v:ext="edit" aspectratio="t"/>
          </v:shape>
          <o:OLEObject Type="Embed" ProgID="Equations" ShapeID="对象 23" DrawAspect="Content" ObjectID="_1468075725" r:id="rId7">
            <o:LockedField>false</o:LockedField>
          </o:OLEObject>
        </w:pict>
      </w:r>
      <w:r>
        <w:rPr>
          <w:rFonts w:hint="eastAsia" w:ascii="宋体" w:hAnsi="宋体"/>
          <w:szCs w:val="21"/>
        </w:rPr>
        <w:t xml:space="preserve">                              </w:t>
      </w:r>
      <w:r>
        <w:rPr>
          <w:rFonts w:ascii="宋体" w:hAnsi="宋体"/>
          <w:szCs w:val="21"/>
        </w:rPr>
        <w:t>………………………………………………………</w:t>
      </w:r>
      <w:r>
        <w:rPr>
          <w:rFonts w:hint="eastAsia" w:ascii="宋体" w:hAnsi="宋体"/>
          <w:szCs w:val="21"/>
        </w:rPr>
        <w:t>(1)</w:t>
      </w:r>
    </w:p>
    <w:p w14:paraId="177A32D7">
      <w:pPr>
        <w:jc w:val="center"/>
        <w:rPr>
          <w:rFonts w:ascii="宋体" w:hAnsi="宋体"/>
          <w:szCs w:val="21"/>
        </w:rPr>
      </w:pPr>
    </w:p>
    <w:p w14:paraId="104CAD19">
      <w:pPr>
        <w:ind w:firstLine="438" w:firstLineChars="200"/>
        <w:jc w:val="left"/>
        <w:rPr>
          <w:rFonts w:ascii="宋体" w:hAnsi="宋体"/>
          <w:szCs w:val="21"/>
        </w:rPr>
      </w:pPr>
      <w:r>
        <w:rPr>
          <w:rFonts w:hint="eastAsia" w:ascii="宋体" w:hAnsi="宋体"/>
          <w:szCs w:val="21"/>
        </w:rPr>
        <w:t>式中：</w:t>
      </w:r>
    </w:p>
    <w:p w14:paraId="765B0864">
      <w:pPr>
        <w:ind w:firstLine="438" w:firstLineChars="200"/>
        <w:jc w:val="left"/>
        <w:rPr>
          <w:rFonts w:ascii="宋体" w:hAnsi="宋体"/>
          <w:i/>
          <w:szCs w:val="21"/>
        </w:rPr>
      </w:pPr>
      <w:r>
        <w:rPr>
          <w:rFonts w:hint="eastAsia" w:ascii="宋体" w:hAnsi="宋体"/>
          <w:i/>
          <w:szCs w:val="21"/>
        </w:rPr>
        <w:t xml:space="preserve">K </w:t>
      </w:r>
      <w:r>
        <w:rPr>
          <w:rFonts w:hint="eastAsia" w:ascii="宋体" w:hAnsi="宋体"/>
          <w:szCs w:val="21"/>
        </w:rPr>
        <w:t>——抗倾覆安全系数；</w:t>
      </w:r>
    </w:p>
    <w:p w14:paraId="424C3772">
      <w:pPr>
        <w:ind w:firstLine="438" w:firstLineChars="200"/>
        <w:jc w:val="left"/>
        <w:rPr>
          <w:rFonts w:ascii="宋体" w:hAnsi="宋体"/>
          <w:szCs w:val="21"/>
        </w:rPr>
      </w:pPr>
      <w:r>
        <w:rPr>
          <w:rFonts w:hint="eastAsia" w:ascii="宋体" w:hAnsi="宋体"/>
          <w:i/>
          <w:szCs w:val="21"/>
        </w:rPr>
        <w:t>F</w:t>
      </w:r>
      <w:r>
        <w:rPr>
          <w:rFonts w:hint="eastAsia" w:ascii="宋体" w:hAnsi="宋体"/>
          <w:i/>
          <w:szCs w:val="21"/>
          <w:vertAlign w:val="subscript"/>
        </w:rPr>
        <w:t>1</w:t>
      </w:r>
      <w:r>
        <w:rPr>
          <w:rFonts w:hint="eastAsia" w:ascii="宋体" w:hAnsi="宋体"/>
          <w:szCs w:val="21"/>
        </w:rPr>
        <w:t xml:space="preserve"> ——连墙件允许拉力，单位为牛(N)；</w:t>
      </w:r>
    </w:p>
    <w:p w14:paraId="55B23153">
      <w:pPr>
        <w:ind w:firstLine="438" w:firstLineChars="200"/>
        <w:jc w:val="left"/>
        <w:rPr>
          <w:rFonts w:ascii="宋体" w:hAnsi="宋体"/>
          <w:szCs w:val="21"/>
        </w:rPr>
      </w:pPr>
      <w:r>
        <w:rPr>
          <w:rFonts w:hint="eastAsia" w:ascii="宋体" w:hAnsi="宋体"/>
          <w:i/>
          <w:szCs w:val="21"/>
        </w:rPr>
        <w:t>L</w:t>
      </w:r>
      <w:r>
        <w:rPr>
          <w:rFonts w:hint="eastAsia" w:ascii="宋体" w:hAnsi="宋体"/>
          <w:i/>
          <w:szCs w:val="21"/>
          <w:vertAlign w:val="subscript"/>
        </w:rPr>
        <w:t>1</w:t>
      </w:r>
      <w:r>
        <w:rPr>
          <w:rFonts w:hint="eastAsia" w:ascii="宋体" w:hAnsi="宋体"/>
          <w:szCs w:val="21"/>
        </w:rPr>
        <w:t xml:space="preserve"> ——连墙件作用点离地高度，单位为米(m)；</w:t>
      </w:r>
    </w:p>
    <w:p w14:paraId="1404A304">
      <w:pPr>
        <w:ind w:firstLine="438" w:firstLineChars="200"/>
        <w:jc w:val="left"/>
        <w:rPr>
          <w:rFonts w:ascii="宋体" w:hAnsi="宋体"/>
          <w:szCs w:val="21"/>
        </w:rPr>
      </w:pPr>
      <w:r>
        <w:rPr>
          <w:rFonts w:hint="eastAsia" w:ascii="宋体" w:hAnsi="宋体"/>
          <w:i/>
          <w:szCs w:val="21"/>
        </w:rPr>
        <w:t>F</w:t>
      </w:r>
      <w:r>
        <w:rPr>
          <w:rFonts w:hint="eastAsia" w:ascii="宋体" w:hAnsi="宋体"/>
          <w:i/>
          <w:szCs w:val="21"/>
          <w:vertAlign w:val="subscript"/>
        </w:rPr>
        <w:t>2</w:t>
      </w:r>
      <w:r>
        <w:rPr>
          <w:rFonts w:hint="eastAsia" w:ascii="宋体" w:hAnsi="宋体"/>
          <w:szCs w:val="21"/>
        </w:rPr>
        <w:t xml:space="preserve"> ——银幕架活荷载造成的横向拉力，单位为牛(N)；</w:t>
      </w:r>
    </w:p>
    <w:p w14:paraId="311F187E">
      <w:pPr>
        <w:ind w:firstLine="438" w:firstLineChars="200"/>
        <w:rPr>
          <w:rFonts w:ascii="宋体" w:hAnsi="宋体"/>
          <w:szCs w:val="21"/>
        </w:rPr>
      </w:pPr>
      <w:r>
        <w:rPr>
          <w:rFonts w:hint="eastAsia" w:ascii="宋体" w:hAnsi="宋体"/>
          <w:i/>
          <w:szCs w:val="21"/>
        </w:rPr>
        <w:t>L</w:t>
      </w:r>
      <w:r>
        <w:rPr>
          <w:rFonts w:hint="eastAsia" w:ascii="宋体" w:hAnsi="宋体"/>
          <w:i/>
          <w:szCs w:val="21"/>
          <w:vertAlign w:val="subscript"/>
        </w:rPr>
        <w:t>2</w:t>
      </w:r>
      <w:r>
        <w:rPr>
          <w:rFonts w:hint="eastAsia" w:ascii="宋体" w:hAnsi="宋体"/>
          <w:szCs w:val="21"/>
        </w:rPr>
        <w:t xml:space="preserve"> ——活荷载横向拉力离地高度，单位为米(m)；                                       </w:t>
      </w:r>
    </w:p>
    <w:p w14:paraId="74B2F40D">
      <w:pPr>
        <w:ind w:firstLine="438" w:firstLineChars="200"/>
        <w:jc w:val="left"/>
        <w:rPr>
          <w:rFonts w:ascii="宋体" w:hAnsi="宋体"/>
          <w:szCs w:val="21"/>
        </w:rPr>
      </w:pPr>
      <w:r>
        <w:rPr>
          <w:rFonts w:hint="eastAsia" w:ascii="宋体" w:hAnsi="宋体"/>
          <w:i/>
          <w:szCs w:val="21"/>
        </w:rPr>
        <w:t>F</w:t>
      </w:r>
      <w:r>
        <w:rPr>
          <w:rFonts w:hint="eastAsia" w:ascii="宋体" w:hAnsi="宋体"/>
          <w:i/>
          <w:szCs w:val="21"/>
          <w:vertAlign w:val="subscript"/>
        </w:rPr>
        <w:t>3</w:t>
      </w:r>
      <w:r>
        <w:rPr>
          <w:rFonts w:hint="eastAsia" w:ascii="宋体" w:hAnsi="宋体"/>
          <w:szCs w:val="21"/>
        </w:rPr>
        <w:t xml:space="preserve"> ——最大风荷载，单位为牛(N)；</w:t>
      </w:r>
    </w:p>
    <w:p w14:paraId="4E1F0F59">
      <w:pPr>
        <w:ind w:firstLine="438" w:firstLineChars="200"/>
        <w:jc w:val="left"/>
        <w:rPr>
          <w:rFonts w:ascii="宋体" w:hAnsi="宋体"/>
          <w:szCs w:val="21"/>
        </w:rPr>
      </w:pPr>
      <w:r>
        <w:rPr>
          <w:rFonts w:hint="eastAsia" w:ascii="宋体" w:hAnsi="宋体"/>
          <w:i/>
          <w:szCs w:val="21"/>
        </w:rPr>
        <w:t>L</w:t>
      </w:r>
      <w:r>
        <w:rPr>
          <w:rFonts w:hint="eastAsia" w:ascii="宋体" w:hAnsi="宋体"/>
          <w:i/>
          <w:szCs w:val="21"/>
          <w:vertAlign w:val="subscript"/>
        </w:rPr>
        <w:t>3</w:t>
      </w:r>
      <w:r>
        <w:rPr>
          <w:rFonts w:hint="eastAsia" w:ascii="宋体" w:hAnsi="宋体"/>
          <w:szCs w:val="21"/>
        </w:rPr>
        <w:t xml:space="preserve"> ——风荷载合力作用点离地高度，单位为米(m)；</w:t>
      </w:r>
    </w:p>
    <w:p w14:paraId="2EA5A896">
      <w:pPr>
        <w:ind w:firstLine="438" w:firstLineChars="200"/>
        <w:jc w:val="left"/>
        <w:rPr>
          <w:rFonts w:ascii="宋体" w:hAnsi="宋体"/>
          <w:szCs w:val="21"/>
        </w:rPr>
      </w:pPr>
      <w:r>
        <w:rPr>
          <w:rFonts w:hint="eastAsia" w:ascii="宋体" w:hAnsi="宋体"/>
          <w:i/>
          <w:szCs w:val="21"/>
        </w:rPr>
        <w:t>G</w:t>
      </w:r>
      <w:r>
        <w:rPr>
          <w:rFonts w:hint="eastAsia" w:ascii="宋体" w:hAnsi="宋体"/>
          <w:szCs w:val="21"/>
        </w:rPr>
        <w:t xml:space="preserve"> ——银幕架自重，单位为牛(N)；</w:t>
      </w:r>
    </w:p>
    <w:p w14:paraId="46EA9741">
      <w:pPr>
        <w:ind w:firstLine="438" w:firstLineChars="200"/>
        <w:jc w:val="left"/>
        <w:rPr>
          <w:rFonts w:hint="eastAsia" w:ascii="黑体" w:hAnsi="宋体" w:eastAsia="黑体"/>
          <w:szCs w:val="21"/>
        </w:rPr>
      </w:pPr>
      <w:r>
        <w:rPr>
          <w:rFonts w:hint="eastAsia" w:ascii="宋体" w:hAnsi="宋体"/>
          <w:i/>
          <w:szCs w:val="21"/>
        </w:rPr>
        <w:t>L</w:t>
      </w:r>
      <w:r>
        <w:rPr>
          <w:rFonts w:hint="eastAsia" w:ascii="宋体" w:hAnsi="宋体"/>
          <w:szCs w:val="21"/>
        </w:rPr>
        <w:t xml:space="preserve"> ——银幕架重心偏离力臂，单位为米(m)</w:t>
      </w:r>
      <w:r>
        <w:rPr>
          <w:rFonts w:hint="eastAsia" w:ascii="黑体" w:hAnsi="宋体" w:eastAsia="黑体"/>
          <w:szCs w:val="21"/>
        </w:rPr>
        <w:t>。</w:t>
      </w:r>
    </w:p>
    <w:p w14:paraId="5C643AB8">
      <w:pPr>
        <w:ind w:firstLine="438" w:firstLineChars="200"/>
        <w:jc w:val="left"/>
        <w:rPr>
          <w:rFonts w:hint="eastAsia" w:ascii="黑体" w:hAnsi="宋体" w:eastAsia="黑体"/>
          <w:szCs w:val="21"/>
        </w:rPr>
      </w:pPr>
    </w:p>
    <w:p w14:paraId="0525C851">
      <w:pPr>
        <w:ind w:firstLine="438" w:firstLineChars="200"/>
        <w:jc w:val="center"/>
        <w:rPr>
          <w:rFonts w:ascii="黑体" w:hAnsi="宋体" w:eastAsia="黑体"/>
          <w:szCs w:val="21"/>
        </w:rPr>
      </w:pPr>
      <w:r>
        <w:rPr>
          <w:rFonts w:ascii="黑体" w:hAnsi="宋体" w:eastAsia="黑体"/>
          <w:szCs w:val="21"/>
        </w:rPr>
        <w:drawing>
          <wp:inline distT="0" distB="0" distL="0" distR="0">
            <wp:extent cx="2905760" cy="2664460"/>
            <wp:effectExtent l="0" t="0" r="2540" b="2540"/>
            <wp:docPr id="8" name="图片 6" descr="0fa3b2d5dc0ed56b1650fca988202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descr="0fa3b2d5dc0ed56b1650fca988202c6"/>
                    <pic:cNvPicPr>
                      <a:picLocks noChangeAspect="1" noChangeArrowheads="1"/>
                    </pic:cNvPicPr>
                  </pic:nvPicPr>
                  <pic:blipFill>
                    <a:blip r:embed="rId9" cstate="print"/>
                    <a:srcRect l="1033" t="996" r="1033" b="996"/>
                    <a:stretch>
                      <a:fillRect/>
                    </a:stretch>
                  </pic:blipFill>
                  <pic:spPr>
                    <a:xfrm>
                      <a:off x="0" y="0"/>
                      <a:ext cx="2905760" cy="2664460"/>
                    </a:xfrm>
                    <a:prstGeom prst="rect">
                      <a:avLst/>
                    </a:prstGeom>
                    <a:noFill/>
                    <a:ln w="9525" cmpd="sng">
                      <a:noFill/>
                      <a:miter lim="800000"/>
                      <a:headEnd/>
                      <a:tailEnd/>
                    </a:ln>
                    <a:effectLst/>
                  </pic:spPr>
                </pic:pic>
              </a:graphicData>
            </a:graphic>
          </wp:inline>
        </w:drawing>
      </w:r>
    </w:p>
    <w:p w14:paraId="5E3C1136">
      <w:pPr>
        <w:jc w:val="center"/>
        <w:rPr>
          <w:rFonts w:ascii="黑体" w:hAnsi="宋体" w:eastAsia="黑体"/>
          <w:szCs w:val="21"/>
        </w:rPr>
      </w:pPr>
      <w:r>
        <w:rPr>
          <w:rFonts w:hint="eastAsia" w:ascii="黑体" w:hAnsi="宋体" w:eastAsia="黑体"/>
          <w:szCs w:val="21"/>
        </w:rPr>
        <w:t>图4</w:t>
      </w:r>
    </w:p>
    <w:p w14:paraId="748F1B18">
      <w:pPr>
        <w:jc w:val="left"/>
        <w:rPr>
          <w:rFonts w:hint="eastAsia" w:ascii="黑体" w:hAnsi="黑体" w:eastAsia="黑体"/>
          <w:szCs w:val="21"/>
        </w:rPr>
      </w:pPr>
    </w:p>
    <w:p w14:paraId="7670A0A6">
      <w:pPr>
        <w:jc w:val="left"/>
        <w:rPr>
          <w:rFonts w:ascii="宋体" w:hAnsi="宋体"/>
          <w:szCs w:val="21"/>
        </w:rPr>
      </w:pPr>
      <w:r>
        <w:rPr>
          <w:rFonts w:hint="eastAsia" w:ascii="黑体" w:hAnsi="黑体" w:eastAsia="黑体"/>
          <w:szCs w:val="21"/>
        </w:rPr>
        <w:t>6.7</w:t>
      </w:r>
      <w:r>
        <w:rPr>
          <w:rFonts w:hint="eastAsia" w:ascii="宋体" w:hAnsi="宋体"/>
          <w:szCs w:val="21"/>
        </w:rPr>
        <w:t xml:space="preserve">  </w:t>
      </w:r>
      <w:r>
        <w:rPr>
          <w:rFonts w:hint="eastAsia" w:ascii="黑体" w:hAnsi="黑体" w:eastAsia="黑体"/>
          <w:szCs w:val="21"/>
        </w:rPr>
        <w:t>5.2.3、5.2.5、5.3.3～5.3.8、5.3.12、5.3.13、5.4.1、5.5、5.7.3、5.9的要求</w:t>
      </w:r>
    </w:p>
    <w:p w14:paraId="4EC26E66">
      <w:pPr>
        <w:ind w:firstLine="438" w:firstLineChars="200"/>
        <w:jc w:val="left"/>
        <w:rPr>
          <w:rFonts w:ascii="宋体" w:hAnsi="宋体"/>
          <w:szCs w:val="21"/>
        </w:rPr>
      </w:pPr>
      <w:r>
        <w:rPr>
          <w:rFonts w:hint="eastAsia" w:ascii="宋体" w:hAnsi="宋体"/>
          <w:szCs w:val="21"/>
        </w:rPr>
        <w:t>目视检查。</w:t>
      </w:r>
    </w:p>
    <w:p w14:paraId="559E1FB9">
      <w:pPr>
        <w:ind w:left="653" w:hanging="651" w:hangingChars="298"/>
        <w:jc w:val="left"/>
        <w:rPr>
          <w:rFonts w:ascii="黑体" w:hAnsi="黑体" w:eastAsia="黑体" w:cs="宋体"/>
          <w:szCs w:val="21"/>
        </w:rPr>
      </w:pPr>
      <w:r>
        <w:rPr>
          <w:rFonts w:hint="eastAsia" w:ascii="黑体" w:hAnsi="黑体" w:eastAsia="黑体" w:cs="宋体"/>
          <w:szCs w:val="21"/>
        </w:rPr>
        <w:t>6.8  水平度误差</w:t>
      </w:r>
    </w:p>
    <w:p w14:paraId="1084FE64">
      <w:pPr>
        <w:ind w:firstLine="438" w:firstLineChars="200"/>
        <w:jc w:val="left"/>
        <w:rPr>
          <w:rFonts w:ascii="宋体" w:hAnsi="宋体" w:cs="宋体"/>
          <w:szCs w:val="21"/>
        </w:rPr>
      </w:pPr>
      <w:r>
        <w:rPr>
          <w:rFonts w:hint="eastAsia" w:ascii="宋体" w:hAnsi="宋体" w:cs="宋体"/>
          <w:szCs w:val="21"/>
        </w:rPr>
        <w:t>用激光水平基准仪在水平杆或水平黑框的最低点设一水平线，用钢直尺进行测量，取偏离水平线</w:t>
      </w:r>
    </w:p>
    <w:p w14:paraId="4CE83FAE">
      <w:pPr>
        <w:ind w:left="653" w:hanging="651" w:hangingChars="298"/>
        <w:jc w:val="left"/>
        <w:rPr>
          <w:rFonts w:ascii="宋体" w:hAnsi="宋体" w:cs="宋体"/>
          <w:szCs w:val="21"/>
        </w:rPr>
      </w:pPr>
      <w:r>
        <w:rPr>
          <w:rFonts w:hint="eastAsia" w:ascii="宋体" w:hAnsi="宋体" w:cs="宋体"/>
          <w:szCs w:val="21"/>
        </w:rPr>
        <w:t>最远的点的数值。</w:t>
      </w:r>
    </w:p>
    <w:p w14:paraId="5B5817CC">
      <w:pPr>
        <w:ind w:left="653" w:hanging="651" w:hangingChars="298"/>
        <w:jc w:val="left"/>
        <w:rPr>
          <w:rFonts w:ascii="宋体" w:hAnsi="宋体" w:cs="宋体"/>
          <w:szCs w:val="21"/>
        </w:rPr>
      </w:pPr>
      <w:r>
        <w:rPr>
          <w:rFonts w:hint="eastAsia" w:ascii="黑体" w:hAnsi="黑体" w:eastAsia="黑体" w:cs="宋体"/>
          <w:szCs w:val="21"/>
        </w:rPr>
        <w:t>6.9  铅垂度误差</w:t>
      </w:r>
    </w:p>
    <w:p w14:paraId="4109D5C1">
      <w:pPr>
        <w:ind w:firstLine="438" w:firstLineChars="200"/>
        <w:jc w:val="left"/>
        <w:rPr>
          <w:rFonts w:ascii="黑体" w:hAnsi="黑体" w:eastAsia="黑体"/>
          <w:szCs w:val="21"/>
        </w:rPr>
      </w:pPr>
      <w:r>
        <w:rPr>
          <w:rFonts w:hint="eastAsia" w:ascii="宋体" w:hAnsi="宋体" w:cs="宋体"/>
          <w:szCs w:val="21"/>
        </w:rPr>
        <w:t>用激光水平基准仪在被测对象最外边缘设一条垂直线，用钢卷尺测出偏离垂直线最远的点的距离。</w:t>
      </w:r>
      <w:r>
        <w:rPr>
          <w:rFonts w:hint="eastAsia" w:ascii="宋体" w:hAnsi="宋体"/>
          <w:szCs w:val="21"/>
        </w:rPr>
        <w:t>共测前后和左右两个方向，取最大值。左右黑框的垂直度偏差只测左右，不测前后。</w:t>
      </w:r>
    </w:p>
    <w:p w14:paraId="70A09DC4">
      <w:pPr>
        <w:ind w:left="653" w:hanging="651" w:hangingChars="298"/>
        <w:jc w:val="left"/>
        <w:rPr>
          <w:rFonts w:ascii="黑体" w:hAnsi="黑体" w:eastAsia="黑体"/>
          <w:szCs w:val="21"/>
        </w:rPr>
      </w:pPr>
      <w:r>
        <w:rPr>
          <w:rFonts w:hint="eastAsia" w:ascii="黑体" w:hAnsi="黑体" w:eastAsia="黑体"/>
          <w:szCs w:val="21"/>
        </w:rPr>
        <w:t>6.10  对角线误差</w:t>
      </w:r>
    </w:p>
    <w:p w14:paraId="158BB4F0">
      <w:pPr>
        <w:ind w:firstLine="438" w:firstLineChars="200"/>
        <w:jc w:val="left"/>
        <w:rPr>
          <w:rFonts w:hint="eastAsia" w:ascii="宋体" w:hAnsi="宋体"/>
          <w:szCs w:val="21"/>
        </w:rPr>
      </w:pPr>
      <w:r>
        <w:rPr>
          <w:rFonts w:hint="eastAsia" w:ascii="宋体" w:hAnsi="宋体"/>
          <w:szCs w:val="21"/>
        </w:rPr>
        <w:t>用分度值为1mm的钢卷尺分别测量左下角到右上角对角线的长度和右下角到左上角对角线的长度，取两者差值的绝对值。</w:t>
      </w:r>
    </w:p>
    <w:p w14:paraId="5869BAEE">
      <w:pPr>
        <w:ind w:firstLine="438" w:firstLineChars="200"/>
        <w:jc w:val="left"/>
        <w:rPr>
          <w:rFonts w:hint="eastAsia" w:ascii="宋体" w:hAnsi="宋体"/>
          <w:szCs w:val="21"/>
        </w:rPr>
      </w:pPr>
    </w:p>
    <w:p w14:paraId="566EC42A">
      <w:pPr>
        <w:widowControl/>
        <w:jc w:val="left"/>
        <w:rPr>
          <w:rFonts w:ascii="宋体" w:hAnsi="宋体" w:cs="宋体"/>
          <w:kern w:val="0"/>
          <w:sz w:val="18"/>
          <w:szCs w:val="18"/>
        </w:rPr>
      </w:pPr>
      <w:r>
        <w:rPr>
          <w:rFonts w:hint="eastAsia" w:ascii="宋体" w:hAnsi="宋体" w:cs="宋体"/>
          <w:kern w:val="0"/>
          <w:sz w:val="18"/>
          <w:szCs w:val="18"/>
        </w:rPr>
        <w:t>6</w:t>
      </w:r>
      <w:r>
        <w:rPr>
          <w:rFonts w:hint="eastAsia"/>
        </w:rPr>
        <w:t xml:space="preserve">                                      </w:t>
      </w:r>
      <w:r>
        <w:rPr>
          <w:rFonts w:hint="eastAsia"/>
          <w:szCs w:val="21"/>
        </w:rPr>
        <w:t xml:space="preserve">   </w:t>
      </w:r>
    </w:p>
    <w:p w14:paraId="78BD1BCE">
      <w:pPr>
        <w:jc w:val="right"/>
        <w:rPr>
          <w:rFonts w:ascii="黑体" w:hAnsi="宋体" w:eastAsia="黑体"/>
          <w:szCs w:val="21"/>
        </w:rPr>
      </w:pPr>
      <w:r>
        <w:rPr>
          <w:rFonts w:hint="eastAsia" w:ascii="黑体" w:hAnsi="宋体" w:eastAsia="黑体"/>
          <w:szCs w:val="21"/>
        </w:rPr>
        <w:t>JB/T ××××-××××</w:t>
      </w:r>
    </w:p>
    <w:p w14:paraId="51270052">
      <w:pPr>
        <w:jc w:val="left"/>
        <w:rPr>
          <w:rFonts w:hint="eastAsia" w:ascii="黑体" w:hAnsi="黑体" w:eastAsia="黑体"/>
          <w:szCs w:val="21"/>
        </w:rPr>
      </w:pPr>
    </w:p>
    <w:p w14:paraId="1C16B2BF">
      <w:pPr>
        <w:jc w:val="left"/>
        <w:rPr>
          <w:rFonts w:ascii="宋体" w:hAnsi="宋体"/>
          <w:szCs w:val="21"/>
        </w:rPr>
      </w:pPr>
      <w:r>
        <w:rPr>
          <w:rFonts w:hint="eastAsia" w:ascii="黑体" w:hAnsi="黑体" w:eastAsia="黑体"/>
          <w:szCs w:val="21"/>
        </w:rPr>
        <w:t>6.1</w:t>
      </w:r>
      <w:r>
        <w:rPr>
          <w:rFonts w:hint="eastAsia" w:ascii="黑体" w:hAnsi="黑体" w:eastAsia="黑体"/>
          <w:szCs w:val="21"/>
          <w:lang w:val="en-US" w:eastAsia="zh-CN"/>
        </w:rPr>
        <w:t>1</w:t>
      </w:r>
      <w:r>
        <w:rPr>
          <w:rFonts w:hint="eastAsia" w:ascii="黑体" w:hAnsi="黑体" w:eastAsia="黑体"/>
          <w:szCs w:val="21"/>
        </w:rPr>
        <w:t xml:space="preserve">  音箱固定板分布的检查</w:t>
      </w:r>
    </w:p>
    <w:p w14:paraId="4583BA17">
      <w:pPr>
        <w:ind w:firstLine="438" w:firstLineChars="200"/>
        <w:jc w:val="left"/>
        <w:rPr>
          <w:rFonts w:ascii="宋体" w:hAnsi="宋体"/>
          <w:szCs w:val="21"/>
        </w:rPr>
      </w:pPr>
      <w:r>
        <w:rPr>
          <w:rFonts w:hint="eastAsia" w:ascii="宋体" w:hAnsi="宋体"/>
          <w:szCs w:val="21"/>
        </w:rPr>
        <w:t>根据声学设计要求进行复核。</w:t>
      </w:r>
    </w:p>
    <w:p w14:paraId="55B1D599">
      <w:pPr>
        <w:jc w:val="left"/>
        <w:rPr>
          <w:rFonts w:ascii="黑体" w:hAnsi="黑体" w:eastAsia="黑体"/>
          <w:szCs w:val="21"/>
        </w:rPr>
      </w:pPr>
      <w:r>
        <w:rPr>
          <w:rFonts w:hint="eastAsia" w:ascii="黑体" w:hAnsi="黑体" w:eastAsia="黑体"/>
          <w:szCs w:val="21"/>
        </w:rPr>
        <w:t>6</w:t>
      </w:r>
      <w:r>
        <w:rPr>
          <w:rFonts w:ascii="黑体" w:hAnsi="黑体" w:eastAsia="黑体"/>
          <w:szCs w:val="21"/>
        </w:rPr>
        <w:t>.</w:t>
      </w:r>
      <w:r>
        <w:rPr>
          <w:rFonts w:hint="eastAsia" w:ascii="黑体" w:hAnsi="黑体" w:eastAsia="黑体"/>
          <w:szCs w:val="21"/>
        </w:rPr>
        <w:t>1</w:t>
      </w:r>
      <w:r>
        <w:rPr>
          <w:rFonts w:hint="eastAsia" w:ascii="黑体" w:hAnsi="黑体" w:eastAsia="黑体"/>
          <w:szCs w:val="21"/>
          <w:lang w:val="en-US" w:eastAsia="zh-CN"/>
        </w:rPr>
        <w:t>2</w:t>
      </w:r>
      <w:r>
        <w:rPr>
          <w:rFonts w:hint="eastAsia" w:ascii="黑体" w:hAnsi="黑体" w:eastAsia="黑体"/>
          <w:szCs w:val="21"/>
        </w:rPr>
        <w:t xml:space="preserve">  电动黑框转换停位误差</w:t>
      </w:r>
    </w:p>
    <w:p w14:paraId="0FCC3AD8">
      <w:pPr>
        <w:ind w:firstLine="428" w:firstLineChars="196"/>
        <w:rPr>
          <w:rFonts w:ascii="宋体" w:hAnsi="宋体"/>
          <w:szCs w:val="21"/>
        </w:rPr>
      </w:pPr>
      <w:r>
        <w:rPr>
          <w:rFonts w:hint="eastAsia" w:ascii="宋体" w:hAnsi="宋体"/>
          <w:szCs w:val="21"/>
        </w:rPr>
        <w:t>将电动黑框运行到限位装置自动停止，测量自动停止位置与设定停位的误差，测量3次，取绝对值的平均值。每一个限位点应单独进行测试。</w:t>
      </w:r>
    </w:p>
    <w:p w14:paraId="0BF23C95">
      <w:pPr>
        <w:rPr>
          <w:rFonts w:ascii="黑体" w:hAnsi="黑体" w:eastAsia="黑体"/>
          <w:szCs w:val="21"/>
        </w:rPr>
      </w:pPr>
      <w:r>
        <w:rPr>
          <w:rFonts w:hint="eastAsia" w:ascii="黑体" w:hAnsi="黑体" w:eastAsia="黑体"/>
          <w:szCs w:val="21"/>
        </w:rPr>
        <w:t>6.1</w:t>
      </w:r>
      <w:r>
        <w:rPr>
          <w:rFonts w:hint="eastAsia" w:ascii="黑体" w:hAnsi="黑体" w:eastAsia="黑体"/>
          <w:szCs w:val="21"/>
          <w:lang w:val="en-US" w:eastAsia="zh-CN"/>
        </w:rPr>
        <w:t>3</w:t>
      </w:r>
      <w:r>
        <w:rPr>
          <w:rFonts w:hint="eastAsia" w:ascii="黑体" w:hAnsi="黑体" w:eastAsia="黑体"/>
          <w:szCs w:val="21"/>
        </w:rPr>
        <w:t xml:space="preserve">  电气安全</w:t>
      </w:r>
    </w:p>
    <w:p w14:paraId="5D850F7B">
      <w:pPr>
        <w:ind w:firstLine="438" w:firstLineChars="200"/>
        <w:rPr>
          <w:rFonts w:ascii="宋体" w:hAnsi="宋体"/>
          <w:szCs w:val="21"/>
        </w:rPr>
      </w:pPr>
      <w:r>
        <w:rPr>
          <w:rFonts w:hint="eastAsia" w:ascii="宋体" w:hAnsi="宋体"/>
          <w:szCs w:val="21"/>
        </w:rPr>
        <w:t>控制电路按照GB 8898-2011中第9章的要求进行试验。</w:t>
      </w:r>
    </w:p>
    <w:p w14:paraId="265077C4">
      <w:pPr>
        <w:rPr>
          <w:rFonts w:ascii="黑体" w:hAnsi="黑体" w:eastAsia="黑体"/>
          <w:szCs w:val="21"/>
        </w:rPr>
      </w:pPr>
      <w:r>
        <w:rPr>
          <w:rFonts w:hint="eastAsia" w:ascii="黑体" w:hAnsi="黑体" w:eastAsia="黑体"/>
          <w:szCs w:val="21"/>
        </w:rPr>
        <w:t>6.1</w:t>
      </w:r>
      <w:r>
        <w:rPr>
          <w:rFonts w:hint="eastAsia" w:ascii="黑体" w:hAnsi="黑体" w:eastAsia="黑体"/>
          <w:szCs w:val="21"/>
          <w:lang w:val="en-US" w:eastAsia="zh-CN"/>
        </w:rPr>
        <w:t>4</w:t>
      </w:r>
      <w:r>
        <w:rPr>
          <w:rFonts w:hint="eastAsia" w:ascii="黑体" w:hAnsi="黑体" w:eastAsia="黑体"/>
          <w:szCs w:val="21"/>
        </w:rPr>
        <w:t xml:space="preserve">  远程控制系统</w:t>
      </w:r>
    </w:p>
    <w:p w14:paraId="12FF8F35">
      <w:pPr>
        <w:rPr>
          <w:rFonts w:ascii="宋体" w:hAnsi="宋体"/>
          <w:szCs w:val="21"/>
        </w:rPr>
      </w:pPr>
      <w:r>
        <w:rPr>
          <w:rFonts w:hint="eastAsia" w:ascii="黑体" w:hAnsi="黑体" w:eastAsia="黑体"/>
          <w:szCs w:val="21"/>
        </w:rPr>
        <w:t>6.1</w:t>
      </w:r>
      <w:r>
        <w:rPr>
          <w:rFonts w:hint="eastAsia" w:ascii="黑体" w:hAnsi="黑体" w:eastAsia="黑体"/>
          <w:szCs w:val="21"/>
          <w:lang w:val="en-US" w:eastAsia="zh-CN"/>
        </w:rPr>
        <w:t>4</w:t>
      </w:r>
      <w:r>
        <w:rPr>
          <w:rFonts w:hint="eastAsia" w:ascii="黑体" w:hAnsi="黑体" w:eastAsia="黑体"/>
          <w:szCs w:val="21"/>
        </w:rPr>
        <w:t>.1</w:t>
      </w:r>
      <w:r>
        <w:rPr>
          <w:rFonts w:hint="eastAsia" w:ascii="宋体" w:hAnsi="宋体"/>
          <w:szCs w:val="21"/>
        </w:rPr>
        <w:t xml:space="preserve">  使用射频无线及MPI/IP等控制方式操作，观察系统状态。</w:t>
      </w:r>
    </w:p>
    <w:p w14:paraId="6727DD82">
      <w:pPr>
        <w:rPr>
          <w:rFonts w:ascii="宋体" w:hAnsi="宋体"/>
          <w:szCs w:val="21"/>
        </w:rPr>
      </w:pPr>
      <w:r>
        <w:rPr>
          <w:rFonts w:hint="eastAsia" w:ascii="黑体" w:hAnsi="黑体" w:eastAsia="黑体"/>
          <w:szCs w:val="21"/>
        </w:rPr>
        <w:t>6.1</w:t>
      </w:r>
      <w:r>
        <w:rPr>
          <w:rFonts w:hint="eastAsia" w:ascii="黑体" w:hAnsi="黑体" w:eastAsia="黑体"/>
          <w:szCs w:val="21"/>
          <w:lang w:val="en-US" w:eastAsia="zh-CN"/>
        </w:rPr>
        <w:t>4</w:t>
      </w:r>
      <w:r>
        <w:rPr>
          <w:rFonts w:hint="eastAsia" w:ascii="黑体" w:hAnsi="黑体" w:eastAsia="黑体"/>
          <w:szCs w:val="21"/>
        </w:rPr>
        <w:t>.2</w:t>
      </w:r>
      <w:r>
        <w:rPr>
          <w:rFonts w:hint="eastAsia" w:ascii="宋体" w:hAnsi="宋体"/>
          <w:szCs w:val="21"/>
        </w:rPr>
        <w:t xml:space="preserve">  实际使用校验。</w:t>
      </w:r>
    </w:p>
    <w:p w14:paraId="27A0DC2C">
      <w:pPr>
        <w:rPr>
          <w:rFonts w:ascii="宋体" w:hAnsi="宋体"/>
          <w:szCs w:val="21"/>
        </w:rPr>
      </w:pPr>
      <w:r>
        <w:rPr>
          <w:rFonts w:hint="eastAsia" w:ascii="黑体" w:hAnsi="黑体" w:eastAsia="黑体"/>
          <w:szCs w:val="21"/>
        </w:rPr>
        <w:t>6.1</w:t>
      </w:r>
      <w:r>
        <w:rPr>
          <w:rFonts w:hint="eastAsia" w:ascii="黑体" w:hAnsi="黑体" w:eastAsia="黑体"/>
          <w:szCs w:val="21"/>
          <w:lang w:val="en-US" w:eastAsia="zh-CN"/>
        </w:rPr>
        <w:t>5</w:t>
      </w:r>
      <w:r>
        <w:rPr>
          <w:rFonts w:hint="eastAsia" w:ascii="宋体" w:hAnsi="宋体"/>
          <w:szCs w:val="21"/>
        </w:rPr>
        <w:t xml:space="preserve">  </w:t>
      </w:r>
      <w:r>
        <w:rPr>
          <w:rFonts w:hint="eastAsia" w:ascii="黑体" w:hAnsi="黑体" w:eastAsia="黑体"/>
          <w:szCs w:val="21"/>
        </w:rPr>
        <w:t>散斑消除效果</w:t>
      </w:r>
    </w:p>
    <w:p w14:paraId="30D2463F">
      <w:pPr>
        <w:ind w:left="766" w:leftChars="200" w:hanging="328" w:hangingChars="150"/>
        <w:rPr>
          <w:rFonts w:ascii="宋体" w:hAnsi="宋体"/>
          <w:szCs w:val="21"/>
        </w:rPr>
      </w:pPr>
      <w:r>
        <w:rPr>
          <w:rFonts w:hint="eastAsia" w:ascii="宋体" w:hAnsi="宋体"/>
          <w:szCs w:val="21"/>
        </w:rPr>
        <w:t>试验方法如下：</w:t>
      </w:r>
    </w:p>
    <w:p w14:paraId="474C4F14">
      <w:pPr>
        <w:ind w:left="766" w:leftChars="200" w:hanging="328" w:hangingChars="150"/>
        <w:rPr>
          <w:rFonts w:ascii="宋体" w:hAnsi="宋体"/>
          <w:szCs w:val="21"/>
        </w:rPr>
      </w:pPr>
      <w:r>
        <w:rPr>
          <w:rFonts w:hint="eastAsia" w:ascii="宋体" w:hAnsi="宋体"/>
          <w:szCs w:val="21"/>
        </w:rPr>
        <w:t>a) 如图5所示，建议使用5W绿色激光笔，将激光笔放置在离幕面合适的距离使激光光斑直径为50cm±2cm，将激光打在已安装调试好的银幕上；</w:t>
      </w:r>
    </w:p>
    <w:p w14:paraId="2B664289">
      <w:pPr>
        <w:ind w:left="766" w:leftChars="200" w:hanging="328" w:hangingChars="150"/>
        <w:rPr>
          <w:rFonts w:ascii="宋体" w:hAnsi="宋体"/>
          <w:szCs w:val="21"/>
        </w:rPr>
      </w:pPr>
      <w:r>
        <w:rPr>
          <w:rFonts w:hint="eastAsia" w:ascii="宋体" w:hAnsi="宋体"/>
          <w:szCs w:val="21"/>
        </w:rPr>
        <w:t>b) 在银幕的观众区中心座位处，观察不同5个测试点振动单元开启前后的银幕散斑对比情况及对眼睛的影响情况。</w:t>
      </w:r>
    </w:p>
    <w:p w14:paraId="1EE46A03">
      <w:pPr>
        <w:jc w:val="center"/>
        <w:rPr>
          <w:rFonts w:ascii="宋体" w:hAnsi="宋体"/>
          <w:color w:val="FF0000"/>
          <w:sz w:val="18"/>
          <w:szCs w:val="18"/>
        </w:rPr>
      </w:pPr>
      <w:r>
        <w:rPr>
          <w:rFonts w:hint="eastAsia" w:ascii="宋体" w:hAnsi="宋体"/>
          <w:color w:val="FF0000"/>
          <w:sz w:val="18"/>
          <w:szCs w:val="18"/>
        </w:rPr>
        <w:drawing>
          <wp:inline distT="0" distB="0" distL="0" distR="0">
            <wp:extent cx="5029200" cy="3143250"/>
            <wp:effectExtent l="19050" t="0" r="0"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noChangeArrowheads="1"/>
                    </pic:cNvPicPr>
                  </pic:nvPicPr>
                  <pic:blipFill>
                    <a:blip r:embed="rId10" cstate="print"/>
                    <a:srcRect/>
                    <a:stretch>
                      <a:fillRect/>
                    </a:stretch>
                  </pic:blipFill>
                  <pic:spPr>
                    <a:xfrm>
                      <a:off x="0" y="0"/>
                      <a:ext cx="5029200" cy="3143250"/>
                    </a:xfrm>
                    <a:prstGeom prst="rect">
                      <a:avLst/>
                    </a:prstGeom>
                    <a:noFill/>
                    <a:ln w="9525" cmpd="sng">
                      <a:noFill/>
                      <a:miter lim="800000"/>
                      <a:headEnd/>
                      <a:tailEnd/>
                    </a:ln>
                    <a:effectLst/>
                  </pic:spPr>
                </pic:pic>
              </a:graphicData>
            </a:graphic>
          </wp:inline>
        </w:drawing>
      </w:r>
    </w:p>
    <w:p w14:paraId="3F50B36D">
      <w:pPr>
        <w:ind w:firstLine="378" w:firstLineChars="200"/>
        <w:jc w:val="left"/>
        <w:rPr>
          <w:rFonts w:ascii="宋体" w:hAnsi="宋体"/>
          <w:sz w:val="18"/>
          <w:szCs w:val="18"/>
        </w:rPr>
      </w:pPr>
      <w:r>
        <w:rPr>
          <w:rFonts w:hint="eastAsia" w:ascii="宋体" w:hAnsi="宋体"/>
          <w:sz w:val="18"/>
          <w:szCs w:val="18"/>
        </w:rPr>
        <w:t>说明：</w:t>
      </w:r>
    </w:p>
    <w:p w14:paraId="71BFE951">
      <w:pPr>
        <w:ind w:firstLine="378" w:firstLineChars="200"/>
        <w:jc w:val="left"/>
        <w:rPr>
          <w:rFonts w:ascii="宋体" w:hAnsi="宋体"/>
          <w:sz w:val="18"/>
          <w:szCs w:val="18"/>
        </w:rPr>
      </w:pPr>
      <w:r>
        <w:rPr>
          <w:rFonts w:hint="eastAsia" w:ascii="宋体" w:hAnsi="宋体"/>
          <w:sz w:val="18"/>
          <w:szCs w:val="18"/>
        </w:rPr>
        <w:t>L——银幕有效画面宽度；</w:t>
      </w:r>
    </w:p>
    <w:p w14:paraId="193A7A34">
      <w:pPr>
        <w:ind w:firstLine="378" w:firstLineChars="200"/>
        <w:jc w:val="left"/>
        <w:rPr>
          <w:rFonts w:ascii="宋体" w:hAnsi="宋体"/>
          <w:sz w:val="18"/>
          <w:szCs w:val="18"/>
        </w:rPr>
      </w:pPr>
      <w:r>
        <w:rPr>
          <w:rFonts w:hint="eastAsia" w:ascii="宋体" w:hAnsi="宋体"/>
          <w:sz w:val="18"/>
          <w:szCs w:val="18"/>
        </w:rPr>
        <w:t>H——银幕有效画面高度。</w:t>
      </w:r>
    </w:p>
    <w:p w14:paraId="601A1D22">
      <w:pPr>
        <w:jc w:val="center"/>
        <w:rPr>
          <w:rFonts w:ascii="黑体" w:hAnsi="黑体" w:eastAsia="黑体"/>
          <w:szCs w:val="21"/>
        </w:rPr>
      </w:pPr>
      <w:r>
        <w:rPr>
          <w:rFonts w:hint="eastAsia" w:ascii="黑体" w:hAnsi="黑体" w:eastAsia="黑体"/>
          <w:szCs w:val="21"/>
        </w:rPr>
        <w:t>图5</w:t>
      </w:r>
    </w:p>
    <w:p w14:paraId="4D652936">
      <w:pPr>
        <w:rPr>
          <w:rFonts w:ascii="黑体" w:hAnsi="黑体" w:eastAsia="黑体"/>
          <w:szCs w:val="21"/>
        </w:rPr>
      </w:pPr>
      <w:r>
        <w:rPr>
          <w:rFonts w:hint="eastAsia" w:ascii="黑体" w:hAnsi="黑体" w:eastAsia="黑体"/>
          <w:szCs w:val="21"/>
        </w:rPr>
        <w:t>6.1</w:t>
      </w:r>
      <w:r>
        <w:rPr>
          <w:rFonts w:hint="eastAsia" w:ascii="黑体" w:hAnsi="黑体" w:eastAsia="黑体"/>
          <w:szCs w:val="21"/>
          <w:lang w:val="en-US" w:eastAsia="zh-CN"/>
        </w:rPr>
        <w:t>6</w:t>
      </w:r>
      <w:r>
        <w:rPr>
          <w:rFonts w:hint="eastAsia" w:ascii="黑体" w:hAnsi="黑体" w:eastAsia="黑体"/>
          <w:szCs w:val="21"/>
        </w:rPr>
        <w:t xml:space="preserve">  噪声</w:t>
      </w:r>
    </w:p>
    <w:p w14:paraId="25353573">
      <w:pPr>
        <w:ind w:firstLine="438" w:firstLineChars="200"/>
        <w:rPr>
          <w:rFonts w:ascii="宋体" w:hAnsi="宋体"/>
          <w:szCs w:val="21"/>
        </w:rPr>
      </w:pPr>
      <w:r>
        <w:rPr>
          <w:rFonts w:hint="eastAsia" w:ascii="宋体" w:hAnsi="宋体"/>
          <w:szCs w:val="21"/>
        </w:rPr>
        <w:t>分别运行银幕架系统电动黑框、振动单元，在观众席第一排中间1.5m高度处用声级计(A计权)进行测量。其测量条件应符合环境噪声比设备运行时所测得的总噪声低10dB以上。</w:t>
      </w:r>
    </w:p>
    <w:p w14:paraId="3D3E1643">
      <w:pPr>
        <w:tabs>
          <w:tab w:val="left" w:pos="1250"/>
        </w:tabs>
        <w:jc w:val="left"/>
        <w:rPr>
          <w:rFonts w:ascii="黑体" w:hAnsi="黑体" w:eastAsia="黑体"/>
          <w:szCs w:val="21"/>
        </w:rPr>
      </w:pPr>
      <w:r>
        <w:rPr>
          <w:rFonts w:hint="eastAsia" w:ascii="黑体" w:hAnsi="黑体" w:eastAsia="黑体"/>
          <w:szCs w:val="21"/>
        </w:rPr>
        <w:t>6.</w:t>
      </w:r>
      <w:r>
        <w:rPr>
          <w:rFonts w:hint="eastAsia" w:ascii="黑体" w:hAnsi="黑体" w:eastAsia="黑体"/>
          <w:szCs w:val="21"/>
          <w:lang w:val="en-US" w:eastAsia="zh-CN"/>
        </w:rPr>
        <w:t>17</w:t>
      </w:r>
      <w:r>
        <w:rPr>
          <w:rFonts w:hint="eastAsia" w:ascii="黑体" w:hAnsi="黑体" w:eastAsia="黑体"/>
          <w:szCs w:val="21"/>
        </w:rPr>
        <w:t xml:space="preserve">  阻燃性</w:t>
      </w:r>
    </w:p>
    <w:p w14:paraId="4D038AA9">
      <w:pPr>
        <w:tabs>
          <w:tab w:val="left" w:pos="1250"/>
        </w:tabs>
        <w:ind w:firstLine="438" w:firstLineChars="200"/>
        <w:jc w:val="left"/>
        <w:rPr>
          <w:rFonts w:ascii="宋体" w:hAnsi="宋体"/>
          <w:szCs w:val="21"/>
        </w:rPr>
      </w:pPr>
      <w:r>
        <w:rPr>
          <w:rFonts w:hint="eastAsia" w:ascii="宋体" w:hAnsi="宋体"/>
          <w:szCs w:val="21"/>
        </w:rPr>
        <w:t>银幕架系统中不同材料按GB/T8624-2012中对应的B1级检测项目中的试验方法进行。</w:t>
      </w:r>
    </w:p>
    <w:p w14:paraId="06411F22">
      <w:pPr>
        <w:tabs>
          <w:tab w:val="left" w:pos="1250"/>
        </w:tabs>
        <w:ind w:firstLine="378" w:firstLineChars="200"/>
        <w:jc w:val="right"/>
        <w:rPr>
          <w:rFonts w:ascii="宋体" w:hAnsi="宋体"/>
          <w:szCs w:val="21"/>
        </w:rPr>
      </w:pPr>
      <w:r>
        <w:rPr>
          <w:rFonts w:hint="eastAsia" w:ascii="宋体" w:hAnsi="宋体"/>
          <w:sz w:val="18"/>
          <w:szCs w:val="18"/>
        </w:rPr>
        <w:t>7</w:t>
      </w:r>
    </w:p>
    <w:p w14:paraId="639B5D68">
      <w:pPr>
        <w:adjustRightInd w:val="0"/>
        <w:snapToGrid w:val="0"/>
        <w:jc w:val="left"/>
        <w:rPr>
          <w:rFonts w:ascii="宋体" w:hAnsi="宋体"/>
          <w:szCs w:val="21"/>
        </w:rPr>
      </w:pPr>
      <w:r>
        <w:rPr>
          <w:rFonts w:hint="eastAsia" w:ascii="黑体" w:hAnsi="宋体" w:eastAsia="黑体"/>
          <w:szCs w:val="21"/>
        </w:rPr>
        <w:t>JB/T ××××-××××</w:t>
      </w:r>
    </w:p>
    <w:p w14:paraId="3458FAED">
      <w:pPr>
        <w:adjustRightInd w:val="0"/>
        <w:snapToGrid w:val="0"/>
        <w:rPr>
          <w:rFonts w:ascii="黑体" w:hAnsi="黑体" w:eastAsia="黑体"/>
          <w:szCs w:val="21"/>
        </w:rPr>
      </w:pPr>
    </w:p>
    <w:p w14:paraId="02865F3D">
      <w:pPr>
        <w:adjustRightInd w:val="0"/>
        <w:snapToGrid w:val="0"/>
        <w:rPr>
          <w:rFonts w:ascii="宋体" w:hAnsi="宋体" w:eastAsia="黑体" w:cs="宋体"/>
        </w:rPr>
      </w:pPr>
      <w:r>
        <w:rPr>
          <w:rFonts w:hint="eastAsia" w:ascii="黑体" w:hAnsi="黑体" w:eastAsia="黑体"/>
          <w:szCs w:val="21"/>
        </w:rPr>
        <w:t>7</w:t>
      </w:r>
      <w:r>
        <w:rPr>
          <w:rFonts w:ascii="黑体" w:hAnsi="黑体" w:eastAsia="黑体"/>
          <w:szCs w:val="21"/>
        </w:rPr>
        <w:t xml:space="preserve">  </w:t>
      </w:r>
      <w:r>
        <w:rPr>
          <w:rFonts w:hint="eastAsia" w:ascii="黑体" w:hAnsi="黑体" w:eastAsia="黑体"/>
          <w:szCs w:val="21"/>
        </w:rPr>
        <w:t>验收规则</w:t>
      </w:r>
    </w:p>
    <w:p w14:paraId="08381730">
      <w:pPr>
        <w:adjustRightInd w:val="0"/>
        <w:snapToGrid w:val="0"/>
        <w:ind w:firstLine="438"/>
        <w:rPr>
          <w:rFonts w:ascii="宋体" w:hAnsi="宋体" w:cs="宋体"/>
        </w:rPr>
      </w:pPr>
    </w:p>
    <w:p w14:paraId="0899CBB4">
      <w:pPr>
        <w:tabs>
          <w:tab w:val="left" w:pos="6570"/>
        </w:tabs>
        <w:rPr>
          <w:rFonts w:ascii="黑体" w:hAnsi="宋体" w:eastAsia="黑体"/>
          <w:szCs w:val="21"/>
        </w:rPr>
      </w:pPr>
      <w:r>
        <w:rPr>
          <w:rFonts w:hint="eastAsia" w:ascii="黑体" w:hAnsi="宋体" w:eastAsia="黑体"/>
          <w:szCs w:val="21"/>
        </w:rPr>
        <w:t>7.1  判定规则</w:t>
      </w:r>
    </w:p>
    <w:p w14:paraId="02B7903E">
      <w:pPr>
        <w:tabs>
          <w:tab w:val="left" w:pos="6570"/>
        </w:tabs>
        <w:rPr>
          <w:rFonts w:ascii="黑体" w:hAnsi="宋体" w:eastAsia="黑体"/>
          <w:szCs w:val="21"/>
        </w:rPr>
      </w:pPr>
      <w:r>
        <w:rPr>
          <w:rFonts w:hint="eastAsia" w:ascii="黑体" w:hAnsi="宋体" w:eastAsia="黑体"/>
          <w:szCs w:val="21"/>
        </w:rPr>
        <w:t>7.1.1</w:t>
      </w:r>
      <w:r>
        <w:rPr>
          <w:rFonts w:hint="eastAsia" w:ascii="黑体" w:hAnsi="黑体" w:eastAsia="黑体"/>
          <w:szCs w:val="21"/>
        </w:rPr>
        <w:t xml:space="preserve">  </w:t>
      </w:r>
      <w:r>
        <w:rPr>
          <w:rFonts w:hint="eastAsia" w:ascii="黑体" w:hAnsi="宋体" w:eastAsia="黑体"/>
          <w:szCs w:val="21"/>
        </w:rPr>
        <w:t>合格</w:t>
      </w:r>
    </w:p>
    <w:p w14:paraId="51092815">
      <w:pPr>
        <w:tabs>
          <w:tab w:val="left" w:pos="6570"/>
        </w:tabs>
        <w:ind w:firstLine="438" w:firstLineChars="200"/>
        <w:rPr>
          <w:rFonts w:ascii="宋体" w:hAnsi="宋体"/>
        </w:rPr>
      </w:pPr>
      <w:r>
        <w:rPr>
          <w:rFonts w:hint="eastAsia" w:ascii="宋体" w:hAnsi="宋体"/>
          <w:szCs w:val="21"/>
        </w:rPr>
        <w:t>若检测项目5.1</w:t>
      </w:r>
      <w:r>
        <w:rPr>
          <w:rFonts w:hint="eastAsia" w:ascii="宋体" w:hAnsi="宋体"/>
        </w:rPr>
        <w:t>～5.10全部符合技术要求，则判定</w:t>
      </w:r>
      <w:r>
        <w:rPr>
          <w:rFonts w:hint="eastAsia" w:ascii="宋体" w:hAnsi="宋体"/>
          <w:szCs w:val="21"/>
        </w:rPr>
        <w:t>银幕架系统</w:t>
      </w:r>
      <w:r>
        <w:rPr>
          <w:rFonts w:hint="eastAsia" w:ascii="宋体" w:hAnsi="宋体"/>
        </w:rPr>
        <w:t>为合格。</w:t>
      </w:r>
    </w:p>
    <w:p w14:paraId="7C3ED309">
      <w:pPr>
        <w:tabs>
          <w:tab w:val="left" w:pos="6570"/>
        </w:tabs>
        <w:rPr>
          <w:rFonts w:ascii="黑体" w:hAnsi="宋体" w:eastAsia="黑体"/>
          <w:szCs w:val="21"/>
        </w:rPr>
      </w:pPr>
      <w:r>
        <w:rPr>
          <w:rFonts w:hint="eastAsia" w:ascii="黑体" w:hAnsi="宋体" w:eastAsia="黑体"/>
          <w:szCs w:val="21"/>
        </w:rPr>
        <w:t>7.1.2  不合格</w:t>
      </w:r>
    </w:p>
    <w:p w14:paraId="10BE96AD">
      <w:pPr>
        <w:tabs>
          <w:tab w:val="left" w:pos="6570"/>
        </w:tabs>
        <w:ind w:firstLine="438"/>
        <w:rPr>
          <w:rFonts w:ascii="宋体" w:hAnsi="宋体"/>
        </w:rPr>
      </w:pPr>
      <w:r>
        <w:rPr>
          <w:rFonts w:hint="eastAsia" w:ascii="宋体" w:hAnsi="宋体"/>
        </w:rPr>
        <w:t>若</w:t>
      </w:r>
      <w:r>
        <w:rPr>
          <w:rFonts w:hint="eastAsia" w:ascii="宋体" w:hAnsi="宋体"/>
          <w:szCs w:val="21"/>
        </w:rPr>
        <w:t>检测项目5.1</w:t>
      </w:r>
      <w:r>
        <w:rPr>
          <w:rFonts w:hint="eastAsia" w:ascii="宋体" w:hAnsi="宋体"/>
        </w:rPr>
        <w:t>～5.10中有任何一项不符合技术要求，则判定</w:t>
      </w:r>
      <w:r>
        <w:rPr>
          <w:rFonts w:hint="eastAsia" w:ascii="宋体" w:hAnsi="宋体"/>
          <w:szCs w:val="21"/>
        </w:rPr>
        <w:t>银幕架系统</w:t>
      </w:r>
      <w:r>
        <w:rPr>
          <w:rFonts w:hint="eastAsia" w:ascii="宋体" w:hAnsi="宋体"/>
        </w:rPr>
        <w:t>为不合格。对判定为不合格的</w:t>
      </w:r>
      <w:r>
        <w:rPr>
          <w:rFonts w:hint="eastAsia" w:ascii="宋体" w:hAnsi="宋体"/>
          <w:szCs w:val="21"/>
        </w:rPr>
        <w:t>银幕架系统</w:t>
      </w:r>
      <w:r>
        <w:rPr>
          <w:rFonts w:hint="eastAsia" w:ascii="宋体" w:hAnsi="宋体"/>
        </w:rPr>
        <w:t>，经整改后，可申请复检。</w:t>
      </w:r>
    </w:p>
    <w:p w14:paraId="66016E29">
      <w:pPr>
        <w:tabs>
          <w:tab w:val="left" w:pos="6570"/>
        </w:tabs>
        <w:rPr>
          <w:rFonts w:ascii="黑体" w:hAnsi="宋体" w:eastAsia="黑体"/>
          <w:szCs w:val="21"/>
        </w:rPr>
      </w:pPr>
      <w:r>
        <w:rPr>
          <w:rFonts w:hint="eastAsia" w:ascii="黑体" w:hAnsi="宋体" w:eastAsia="黑体"/>
          <w:szCs w:val="21"/>
        </w:rPr>
        <w:t>7.2  检测结论</w:t>
      </w:r>
    </w:p>
    <w:p w14:paraId="5A8BCA44">
      <w:pPr>
        <w:tabs>
          <w:tab w:val="left" w:pos="1250"/>
        </w:tabs>
        <w:ind w:firstLine="438" w:firstLineChars="200"/>
        <w:jc w:val="left"/>
        <w:rPr>
          <w:rFonts w:ascii="宋体" w:hAnsi="宋体"/>
          <w:szCs w:val="21"/>
        </w:rPr>
      </w:pPr>
      <w:r>
        <w:rPr>
          <w:rFonts w:hint="eastAsia" w:ascii="宋体" w:hAnsi="宋体"/>
        </w:rPr>
        <w:t>满足7.1.1判定条件的</w:t>
      </w:r>
      <w:r>
        <w:rPr>
          <w:rFonts w:hint="eastAsia" w:ascii="宋体" w:hAnsi="宋体"/>
          <w:szCs w:val="21"/>
        </w:rPr>
        <w:t>银幕架系统</w:t>
      </w:r>
      <w:r>
        <w:rPr>
          <w:rFonts w:hint="eastAsia" w:ascii="宋体" w:hAnsi="宋体"/>
        </w:rPr>
        <w:t>，检测结论为合格；不满足7.1.1判定条件的</w:t>
      </w:r>
      <w:r>
        <w:rPr>
          <w:rFonts w:hint="eastAsia" w:ascii="宋体" w:hAnsi="宋体"/>
          <w:szCs w:val="21"/>
        </w:rPr>
        <w:t>银幕架系统</w:t>
      </w:r>
      <w:r>
        <w:rPr>
          <w:rFonts w:hint="eastAsia" w:ascii="宋体" w:hAnsi="宋体"/>
        </w:rPr>
        <w:t>，检测结论为不合格。复检后满足7.1.1判定条件的</w:t>
      </w:r>
      <w:r>
        <w:rPr>
          <w:rFonts w:hint="eastAsia" w:ascii="宋体" w:hAnsi="宋体"/>
          <w:szCs w:val="21"/>
        </w:rPr>
        <w:t>银幕架系统</w:t>
      </w:r>
      <w:r>
        <w:rPr>
          <w:rFonts w:hint="eastAsia" w:ascii="宋体" w:hAnsi="宋体"/>
        </w:rPr>
        <w:t>，检测结论为复检合格；复检后仍不满足7.1.1判定条件的</w:t>
      </w:r>
      <w:r>
        <w:rPr>
          <w:rFonts w:hint="eastAsia" w:ascii="宋体" w:hAnsi="宋体"/>
          <w:szCs w:val="21"/>
        </w:rPr>
        <w:t>银幕架系统</w:t>
      </w:r>
      <w:r>
        <w:rPr>
          <w:rFonts w:hint="eastAsia" w:ascii="宋体" w:hAnsi="宋体"/>
        </w:rPr>
        <w:t>，检测结论为复检不合格。</w:t>
      </w:r>
    </w:p>
    <w:p w14:paraId="71324EE2">
      <w:pPr>
        <w:rPr>
          <w:rFonts w:ascii="黑体" w:hAnsi="宋体" w:eastAsia="黑体"/>
          <w:szCs w:val="21"/>
        </w:rPr>
      </w:pPr>
    </w:p>
    <w:p w14:paraId="3EC7F07B">
      <w:pPr>
        <w:rPr>
          <w:rFonts w:ascii="黑体" w:hAnsi="宋体" w:eastAsia="黑体"/>
          <w:szCs w:val="21"/>
        </w:rPr>
      </w:pPr>
      <w:r>
        <w:rPr>
          <w:rFonts w:hint="eastAsia" w:ascii="黑体" w:hAnsi="宋体" w:eastAsia="黑体"/>
          <w:szCs w:val="21"/>
        </w:rPr>
        <w:t>8    标志、包装、运输、贮存</w:t>
      </w:r>
    </w:p>
    <w:p w14:paraId="3CF70BE4">
      <w:pPr>
        <w:tabs>
          <w:tab w:val="left" w:pos="1250"/>
        </w:tabs>
        <w:jc w:val="left"/>
        <w:rPr>
          <w:rFonts w:ascii="黑体" w:hAnsi="黑体" w:eastAsia="黑体"/>
          <w:szCs w:val="21"/>
        </w:rPr>
      </w:pPr>
    </w:p>
    <w:p w14:paraId="662806AD">
      <w:pPr>
        <w:tabs>
          <w:tab w:val="left" w:pos="1250"/>
        </w:tabs>
        <w:jc w:val="left"/>
        <w:rPr>
          <w:rFonts w:ascii="黑体" w:hAnsi="黑体" w:eastAsia="黑体"/>
          <w:szCs w:val="21"/>
        </w:rPr>
      </w:pPr>
      <w:r>
        <w:rPr>
          <w:rFonts w:hint="eastAsia" w:ascii="黑体" w:hAnsi="黑体" w:eastAsia="黑体"/>
          <w:szCs w:val="21"/>
        </w:rPr>
        <w:t>8.1  标志</w:t>
      </w:r>
    </w:p>
    <w:p w14:paraId="0FE12D79">
      <w:pPr>
        <w:tabs>
          <w:tab w:val="left" w:pos="1250"/>
        </w:tabs>
        <w:ind w:firstLine="438" w:firstLineChars="200"/>
        <w:jc w:val="left"/>
        <w:rPr>
          <w:rFonts w:ascii="宋体" w:hAnsi="宋体"/>
          <w:szCs w:val="21"/>
        </w:rPr>
      </w:pPr>
      <w:r>
        <w:rPr>
          <w:rFonts w:hint="eastAsia" w:ascii="宋体" w:hAnsi="宋体"/>
          <w:szCs w:val="21"/>
        </w:rPr>
        <w:t>外包装箱应标有产品商标、名称、型号、规格、数量、重量、制造单位、出厂日期等。</w:t>
      </w:r>
    </w:p>
    <w:p w14:paraId="33AB2BA2">
      <w:pPr>
        <w:tabs>
          <w:tab w:val="left" w:pos="1250"/>
        </w:tabs>
        <w:jc w:val="left"/>
        <w:rPr>
          <w:rFonts w:ascii="黑体" w:hAnsi="黑体" w:eastAsia="黑体"/>
          <w:szCs w:val="21"/>
        </w:rPr>
      </w:pPr>
      <w:r>
        <w:rPr>
          <w:rFonts w:hint="eastAsia" w:ascii="黑体" w:hAnsi="黑体" w:eastAsia="黑体"/>
          <w:szCs w:val="21"/>
        </w:rPr>
        <w:t>8.2  包装</w:t>
      </w:r>
    </w:p>
    <w:p w14:paraId="29B40EA7">
      <w:pPr>
        <w:tabs>
          <w:tab w:val="left" w:pos="1250"/>
        </w:tabs>
        <w:ind w:firstLine="438" w:firstLineChars="200"/>
        <w:jc w:val="left"/>
        <w:rPr>
          <w:rFonts w:ascii="宋体" w:hAnsi="宋体"/>
          <w:szCs w:val="21"/>
        </w:rPr>
      </w:pPr>
      <w:r>
        <w:rPr>
          <w:rFonts w:hint="eastAsia" w:ascii="宋体" w:hAnsi="宋体"/>
          <w:szCs w:val="21"/>
        </w:rPr>
        <w:t>长度小于80cm的配件宜采用箱式包装，长度超过80cm的构件可进行捆扎，表面采取防护措施，包装应保证在搬运过程中不产生窜动、变形，包装重量不宜大于</w:t>
      </w:r>
      <w:bookmarkStart w:id="1" w:name="_GoBack"/>
      <w:bookmarkEnd w:id="1"/>
      <w:r>
        <w:rPr>
          <w:rFonts w:hint="eastAsia" w:ascii="宋体" w:hAnsi="宋体"/>
          <w:szCs w:val="21"/>
        </w:rPr>
        <w:t>50kg。</w:t>
      </w:r>
    </w:p>
    <w:p w14:paraId="1A9C4A3F">
      <w:pPr>
        <w:tabs>
          <w:tab w:val="left" w:pos="1250"/>
        </w:tabs>
        <w:jc w:val="left"/>
        <w:rPr>
          <w:rFonts w:ascii="黑体" w:hAnsi="黑体" w:eastAsia="黑体"/>
          <w:szCs w:val="21"/>
        </w:rPr>
      </w:pPr>
      <w:r>
        <w:rPr>
          <w:rFonts w:hint="eastAsia" w:ascii="黑体" w:hAnsi="黑体" w:eastAsia="黑体"/>
          <w:szCs w:val="21"/>
        </w:rPr>
        <w:t>8.3  运输和贮存</w:t>
      </w:r>
    </w:p>
    <w:p w14:paraId="1187BB72">
      <w:pPr>
        <w:ind w:firstLine="438" w:firstLineChars="200"/>
        <w:rPr>
          <w:rFonts w:ascii="宋体" w:hAnsi="宋体"/>
          <w:szCs w:val="21"/>
        </w:rPr>
      </w:pPr>
      <w:r>
        <w:rPr>
          <w:rFonts w:hint="eastAsia" w:ascii="宋体" w:hAnsi="宋体"/>
          <w:szCs w:val="21"/>
        </w:rPr>
        <w:t>银幕架系统构件及配件的运输和贮存的基本环境条件</w:t>
      </w:r>
      <w:r>
        <w:rPr>
          <w:rFonts w:hint="eastAsia" w:ascii="宋体" w:hAnsi="宋体"/>
        </w:rPr>
        <w:t>分级额定值如表1所示</w:t>
      </w:r>
      <w:r>
        <w:rPr>
          <w:rFonts w:hint="eastAsia" w:ascii="宋体" w:hAnsi="宋体"/>
          <w:szCs w:val="21"/>
        </w:rPr>
        <w:t>，其试验方法应符合GB/T 25480-2010的规定。</w:t>
      </w:r>
    </w:p>
    <w:p w14:paraId="5ECAF212">
      <w:pPr>
        <w:jc w:val="center"/>
        <w:rPr>
          <w:rFonts w:ascii="黑体" w:hAnsi="黑体" w:eastAsia="黑体"/>
          <w:szCs w:val="21"/>
        </w:rPr>
      </w:pPr>
      <w:r>
        <w:rPr>
          <w:rFonts w:hint="eastAsia" w:ascii="黑体" w:hAnsi="黑体" w:eastAsia="黑体"/>
          <w:szCs w:val="21"/>
        </w:rPr>
        <w:t xml:space="preserve">表1  </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2"/>
        <w:gridCol w:w="709"/>
        <w:gridCol w:w="4634"/>
        <w:gridCol w:w="851"/>
        <w:gridCol w:w="1247"/>
        <w:gridCol w:w="1247"/>
      </w:tblGrid>
      <w:tr w14:paraId="6277B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52" w:type="dxa"/>
            <w:vMerge w:val="restart"/>
            <w:vAlign w:val="center"/>
          </w:tcPr>
          <w:p w14:paraId="2F44193B">
            <w:pPr>
              <w:jc w:val="center"/>
              <w:rPr>
                <w:rFonts w:ascii="宋体" w:hAnsi="宋体"/>
                <w:sz w:val="18"/>
                <w:szCs w:val="18"/>
              </w:rPr>
            </w:pPr>
            <w:r>
              <w:rPr>
                <w:rFonts w:hint="eastAsia" w:ascii="宋体" w:hAnsi="宋体"/>
                <w:sz w:val="18"/>
                <w:szCs w:val="18"/>
              </w:rPr>
              <w:t>序号</w:t>
            </w:r>
          </w:p>
        </w:tc>
        <w:tc>
          <w:tcPr>
            <w:tcW w:w="6194" w:type="dxa"/>
            <w:gridSpan w:val="3"/>
            <w:vAlign w:val="center"/>
          </w:tcPr>
          <w:p w14:paraId="5FAF0656">
            <w:pPr>
              <w:jc w:val="center"/>
              <w:rPr>
                <w:rFonts w:ascii="宋体" w:hAnsi="宋体"/>
                <w:sz w:val="18"/>
                <w:szCs w:val="18"/>
              </w:rPr>
            </w:pPr>
            <w:r>
              <w:rPr>
                <w:rFonts w:hint="eastAsia" w:ascii="宋体" w:hAnsi="宋体"/>
                <w:sz w:val="18"/>
                <w:szCs w:val="18"/>
              </w:rPr>
              <w:t>基本环境条件</w:t>
            </w:r>
          </w:p>
        </w:tc>
        <w:tc>
          <w:tcPr>
            <w:tcW w:w="2494" w:type="dxa"/>
            <w:gridSpan w:val="2"/>
            <w:vAlign w:val="center"/>
          </w:tcPr>
          <w:p w14:paraId="609147D7">
            <w:pPr>
              <w:jc w:val="center"/>
              <w:rPr>
                <w:rFonts w:ascii="宋体" w:hAnsi="宋体"/>
                <w:sz w:val="18"/>
                <w:szCs w:val="18"/>
              </w:rPr>
            </w:pPr>
            <w:r>
              <w:rPr>
                <w:rFonts w:hint="eastAsia" w:ascii="宋体" w:hAnsi="宋体"/>
                <w:sz w:val="18"/>
                <w:szCs w:val="18"/>
              </w:rPr>
              <w:t>分级额定值</w:t>
            </w:r>
          </w:p>
        </w:tc>
      </w:tr>
      <w:tr w14:paraId="622C3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52" w:type="dxa"/>
            <w:vMerge w:val="continue"/>
            <w:vAlign w:val="center"/>
          </w:tcPr>
          <w:p w14:paraId="4D8B710B">
            <w:pPr>
              <w:jc w:val="center"/>
              <w:rPr>
                <w:rFonts w:ascii="宋体" w:hAnsi="宋体"/>
                <w:sz w:val="18"/>
                <w:szCs w:val="18"/>
              </w:rPr>
            </w:pPr>
          </w:p>
        </w:tc>
        <w:tc>
          <w:tcPr>
            <w:tcW w:w="5343" w:type="dxa"/>
            <w:gridSpan w:val="2"/>
            <w:vAlign w:val="center"/>
          </w:tcPr>
          <w:p w14:paraId="10E6B878">
            <w:pPr>
              <w:jc w:val="center"/>
              <w:rPr>
                <w:rFonts w:ascii="宋体" w:hAnsi="宋体"/>
                <w:sz w:val="18"/>
                <w:szCs w:val="18"/>
              </w:rPr>
            </w:pPr>
            <w:r>
              <w:rPr>
                <w:rFonts w:hint="eastAsia" w:ascii="宋体" w:hAnsi="宋体"/>
                <w:sz w:val="18"/>
                <w:szCs w:val="18"/>
              </w:rPr>
              <w:t>项  目</w:t>
            </w:r>
          </w:p>
        </w:tc>
        <w:tc>
          <w:tcPr>
            <w:tcW w:w="851" w:type="dxa"/>
            <w:vAlign w:val="center"/>
          </w:tcPr>
          <w:p w14:paraId="196BB608">
            <w:pPr>
              <w:jc w:val="center"/>
              <w:rPr>
                <w:rFonts w:ascii="宋体" w:hAnsi="宋体"/>
                <w:sz w:val="18"/>
                <w:szCs w:val="18"/>
              </w:rPr>
            </w:pPr>
            <w:r>
              <w:rPr>
                <w:rFonts w:hint="eastAsia" w:ascii="宋体" w:hAnsi="宋体"/>
                <w:sz w:val="18"/>
                <w:szCs w:val="18"/>
              </w:rPr>
              <w:t>单位</w:t>
            </w:r>
          </w:p>
        </w:tc>
        <w:tc>
          <w:tcPr>
            <w:tcW w:w="1247" w:type="dxa"/>
            <w:vAlign w:val="center"/>
          </w:tcPr>
          <w:p w14:paraId="61710B5B">
            <w:pPr>
              <w:jc w:val="center"/>
              <w:rPr>
                <w:rFonts w:ascii="宋体" w:hAnsi="宋体"/>
                <w:sz w:val="18"/>
                <w:szCs w:val="18"/>
              </w:rPr>
            </w:pPr>
            <w:r>
              <w:rPr>
                <w:rFonts w:hint="eastAsia" w:ascii="宋体" w:hAnsi="宋体"/>
                <w:sz w:val="18"/>
                <w:szCs w:val="18"/>
              </w:rPr>
              <w:t>运输</w:t>
            </w:r>
          </w:p>
        </w:tc>
        <w:tc>
          <w:tcPr>
            <w:tcW w:w="1247" w:type="dxa"/>
            <w:vAlign w:val="center"/>
          </w:tcPr>
          <w:p w14:paraId="044B95EC">
            <w:pPr>
              <w:jc w:val="center"/>
              <w:rPr>
                <w:rFonts w:ascii="宋体" w:hAnsi="宋体"/>
                <w:sz w:val="18"/>
                <w:szCs w:val="18"/>
              </w:rPr>
            </w:pPr>
            <w:r>
              <w:rPr>
                <w:rFonts w:hint="eastAsia" w:ascii="宋体" w:hAnsi="宋体" w:cs="宋体"/>
                <w:kern w:val="0"/>
                <w:sz w:val="18"/>
                <w:szCs w:val="18"/>
              </w:rPr>
              <w:t>贮</w:t>
            </w:r>
            <w:r>
              <w:rPr>
                <w:rFonts w:hint="eastAsia" w:ascii="宋体" w:hAnsi="宋体"/>
                <w:sz w:val="18"/>
                <w:szCs w:val="18"/>
              </w:rPr>
              <w:t>存</w:t>
            </w:r>
          </w:p>
        </w:tc>
      </w:tr>
      <w:tr w14:paraId="4794E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2" w:type="dxa"/>
            <w:vAlign w:val="center"/>
          </w:tcPr>
          <w:p w14:paraId="42BADF4D">
            <w:pPr>
              <w:jc w:val="center"/>
              <w:rPr>
                <w:rFonts w:ascii="宋体" w:hAnsi="宋体"/>
                <w:sz w:val="18"/>
                <w:szCs w:val="18"/>
              </w:rPr>
            </w:pPr>
            <w:r>
              <w:rPr>
                <w:rFonts w:ascii="宋体" w:hAnsi="宋体"/>
                <w:sz w:val="18"/>
                <w:szCs w:val="18"/>
              </w:rPr>
              <w:t>1</w:t>
            </w:r>
          </w:p>
        </w:tc>
        <w:tc>
          <w:tcPr>
            <w:tcW w:w="5343" w:type="dxa"/>
            <w:gridSpan w:val="2"/>
            <w:vAlign w:val="center"/>
          </w:tcPr>
          <w:p w14:paraId="2687557A">
            <w:pPr>
              <w:jc w:val="center"/>
              <w:rPr>
                <w:rFonts w:ascii="宋体" w:hAnsi="宋体"/>
                <w:sz w:val="18"/>
                <w:szCs w:val="18"/>
              </w:rPr>
            </w:pPr>
            <w:r>
              <w:rPr>
                <w:rFonts w:hint="eastAsia" w:ascii="宋体" w:hAnsi="宋体"/>
                <w:sz w:val="18"/>
                <w:szCs w:val="18"/>
              </w:rPr>
              <w:t>高  温</w:t>
            </w:r>
          </w:p>
        </w:tc>
        <w:tc>
          <w:tcPr>
            <w:tcW w:w="851" w:type="dxa"/>
            <w:vAlign w:val="center"/>
          </w:tcPr>
          <w:p w14:paraId="205EC7F6">
            <w:pPr>
              <w:jc w:val="center"/>
              <w:rPr>
                <w:rFonts w:ascii="宋体" w:hAnsi="宋体"/>
                <w:sz w:val="18"/>
                <w:szCs w:val="18"/>
              </w:rPr>
            </w:pPr>
            <w:r>
              <w:rPr>
                <w:rFonts w:hint="eastAsia" w:ascii="宋体" w:hAnsi="宋体"/>
                <w:sz w:val="18"/>
                <w:szCs w:val="18"/>
              </w:rPr>
              <w:t>℃</w:t>
            </w:r>
          </w:p>
        </w:tc>
        <w:tc>
          <w:tcPr>
            <w:tcW w:w="2494" w:type="dxa"/>
            <w:gridSpan w:val="2"/>
            <w:vAlign w:val="center"/>
          </w:tcPr>
          <w:p w14:paraId="26E2C473">
            <w:pPr>
              <w:jc w:val="center"/>
              <w:rPr>
                <w:rFonts w:ascii="宋体" w:hAnsi="宋体"/>
                <w:sz w:val="18"/>
                <w:szCs w:val="18"/>
              </w:rPr>
            </w:pPr>
            <w:r>
              <w:rPr>
                <w:rFonts w:ascii="宋体" w:hAnsi="宋体"/>
                <w:sz w:val="18"/>
                <w:szCs w:val="18"/>
              </w:rPr>
              <w:t>40</w:t>
            </w:r>
          </w:p>
        </w:tc>
      </w:tr>
      <w:tr w14:paraId="79FDD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2" w:type="dxa"/>
            <w:vAlign w:val="center"/>
          </w:tcPr>
          <w:p w14:paraId="161D242F">
            <w:pPr>
              <w:jc w:val="center"/>
              <w:rPr>
                <w:rFonts w:ascii="宋体" w:hAnsi="宋体"/>
                <w:sz w:val="18"/>
                <w:szCs w:val="18"/>
              </w:rPr>
            </w:pPr>
            <w:r>
              <w:rPr>
                <w:rFonts w:ascii="宋体" w:hAnsi="宋体"/>
                <w:sz w:val="18"/>
                <w:szCs w:val="18"/>
              </w:rPr>
              <w:t>2</w:t>
            </w:r>
          </w:p>
        </w:tc>
        <w:tc>
          <w:tcPr>
            <w:tcW w:w="5343" w:type="dxa"/>
            <w:gridSpan w:val="2"/>
            <w:vAlign w:val="center"/>
          </w:tcPr>
          <w:p w14:paraId="1627E285">
            <w:pPr>
              <w:jc w:val="center"/>
              <w:rPr>
                <w:rFonts w:ascii="宋体" w:hAnsi="宋体"/>
                <w:sz w:val="18"/>
                <w:szCs w:val="18"/>
              </w:rPr>
            </w:pPr>
            <w:r>
              <w:rPr>
                <w:rFonts w:hint="eastAsia" w:ascii="宋体" w:hAnsi="宋体"/>
                <w:sz w:val="18"/>
                <w:szCs w:val="18"/>
              </w:rPr>
              <w:t>低  温</w:t>
            </w:r>
          </w:p>
        </w:tc>
        <w:tc>
          <w:tcPr>
            <w:tcW w:w="851" w:type="dxa"/>
            <w:vAlign w:val="center"/>
          </w:tcPr>
          <w:p w14:paraId="20824061">
            <w:pPr>
              <w:jc w:val="center"/>
              <w:rPr>
                <w:rFonts w:ascii="宋体" w:hAnsi="宋体"/>
                <w:sz w:val="18"/>
                <w:szCs w:val="18"/>
              </w:rPr>
            </w:pPr>
            <w:r>
              <w:rPr>
                <w:rFonts w:hint="eastAsia" w:ascii="宋体" w:hAnsi="宋体"/>
                <w:sz w:val="18"/>
                <w:szCs w:val="18"/>
              </w:rPr>
              <w:t>℃</w:t>
            </w:r>
          </w:p>
        </w:tc>
        <w:tc>
          <w:tcPr>
            <w:tcW w:w="2494" w:type="dxa"/>
            <w:gridSpan w:val="2"/>
            <w:vAlign w:val="center"/>
          </w:tcPr>
          <w:p w14:paraId="1D6993A3">
            <w:pPr>
              <w:jc w:val="center"/>
              <w:rPr>
                <w:rFonts w:ascii="宋体" w:hAnsi="宋体"/>
                <w:sz w:val="18"/>
                <w:szCs w:val="18"/>
              </w:rPr>
            </w:pPr>
            <w:r>
              <w:rPr>
                <w:rFonts w:ascii="宋体" w:hAnsi="宋体"/>
                <w:sz w:val="18"/>
                <w:szCs w:val="18"/>
              </w:rPr>
              <w:t>-25</w:t>
            </w:r>
          </w:p>
        </w:tc>
      </w:tr>
      <w:tr w14:paraId="0DAEC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2" w:type="dxa"/>
            <w:vAlign w:val="center"/>
          </w:tcPr>
          <w:p w14:paraId="69D0A796">
            <w:pPr>
              <w:jc w:val="center"/>
              <w:rPr>
                <w:rFonts w:ascii="宋体" w:hAnsi="宋体"/>
                <w:sz w:val="18"/>
                <w:szCs w:val="18"/>
              </w:rPr>
            </w:pPr>
            <w:r>
              <w:rPr>
                <w:rFonts w:ascii="宋体" w:hAnsi="宋体"/>
                <w:sz w:val="18"/>
                <w:szCs w:val="18"/>
              </w:rPr>
              <w:t>3</w:t>
            </w:r>
          </w:p>
        </w:tc>
        <w:tc>
          <w:tcPr>
            <w:tcW w:w="5343" w:type="dxa"/>
            <w:gridSpan w:val="2"/>
            <w:vAlign w:val="center"/>
          </w:tcPr>
          <w:p w14:paraId="18678FC4">
            <w:pPr>
              <w:jc w:val="center"/>
              <w:rPr>
                <w:rFonts w:ascii="宋体" w:hAnsi="宋体"/>
                <w:sz w:val="18"/>
                <w:szCs w:val="18"/>
              </w:rPr>
            </w:pPr>
            <w:r>
              <w:rPr>
                <w:rFonts w:hint="eastAsia" w:ascii="宋体" w:hAnsi="宋体"/>
                <w:sz w:val="18"/>
                <w:szCs w:val="18"/>
              </w:rPr>
              <w:t>相对湿度(25℃时)</w:t>
            </w:r>
          </w:p>
        </w:tc>
        <w:tc>
          <w:tcPr>
            <w:tcW w:w="851" w:type="dxa"/>
            <w:vAlign w:val="center"/>
          </w:tcPr>
          <w:p w14:paraId="5540C3E2">
            <w:pPr>
              <w:jc w:val="center"/>
              <w:rPr>
                <w:rFonts w:ascii="宋体" w:hAnsi="宋体"/>
                <w:sz w:val="18"/>
                <w:szCs w:val="18"/>
              </w:rPr>
            </w:pPr>
          </w:p>
        </w:tc>
        <w:tc>
          <w:tcPr>
            <w:tcW w:w="1247" w:type="dxa"/>
            <w:vAlign w:val="center"/>
          </w:tcPr>
          <w:p w14:paraId="2F5F71EF">
            <w:pPr>
              <w:jc w:val="center"/>
              <w:rPr>
                <w:rFonts w:ascii="宋体" w:hAnsi="宋体"/>
                <w:sz w:val="18"/>
                <w:szCs w:val="18"/>
              </w:rPr>
            </w:pPr>
            <w:r>
              <w:rPr>
                <w:rFonts w:ascii="宋体" w:hAnsi="宋体"/>
                <w:sz w:val="18"/>
                <w:szCs w:val="18"/>
              </w:rPr>
              <w:t>95%</w:t>
            </w:r>
          </w:p>
        </w:tc>
        <w:tc>
          <w:tcPr>
            <w:tcW w:w="1247" w:type="dxa"/>
            <w:vAlign w:val="center"/>
          </w:tcPr>
          <w:p w14:paraId="3267900D">
            <w:pPr>
              <w:jc w:val="center"/>
              <w:rPr>
                <w:rFonts w:ascii="宋体" w:hAnsi="宋体"/>
                <w:sz w:val="18"/>
                <w:szCs w:val="18"/>
              </w:rPr>
            </w:pPr>
            <w:r>
              <w:rPr>
                <w:rFonts w:ascii="宋体" w:hAnsi="宋体"/>
                <w:sz w:val="18"/>
                <w:szCs w:val="18"/>
              </w:rPr>
              <w:t>75%</w:t>
            </w:r>
          </w:p>
        </w:tc>
      </w:tr>
      <w:tr w14:paraId="0362D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2" w:type="dxa"/>
            <w:vMerge w:val="restart"/>
            <w:vAlign w:val="center"/>
          </w:tcPr>
          <w:p w14:paraId="2E07DB0A">
            <w:pPr>
              <w:jc w:val="center"/>
              <w:rPr>
                <w:rFonts w:ascii="宋体" w:hAnsi="宋体"/>
                <w:sz w:val="18"/>
                <w:szCs w:val="18"/>
              </w:rPr>
            </w:pPr>
            <w:r>
              <w:rPr>
                <w:rFonts w:ascii="宋体" w:hAnsi="宋体"/>
                <w:sz w:val="18"/>
                <w:szCs w:val="18"/>
              </w:rPr>
              <w:t>4</w:t>
            </w:r>
          </w:p>
        </w:tc>
        <w:tc>
          <w:tcPr>
            <w:tcW w:w="709" w:type="dxa"/>
            <w:vMerge w:val="restart"/>
            <w:vAlign w:val="center"/>
          </w:tcPr>
          <w:p w14:paraId="58D09943">
            <w:pPr>
              <w:jc w:val="center"/>
              <w:rPr>
                <w:rFonts w:ascii="宋体" w:hAnsi="宋体"/>
                <w:sz w:val="18"/>
                <w:szCs w:val="18"/>
              </w:rPr>
            </w:pPr>
            <w:r>
              <w:rPr>
                <w:rFonts w:hint="eastAsia" w:ascii="宋体" w:hAnsi="宋体"/>
                <w:sz w:val="18"/>
                <w:szCs w:val="18"/>
              </w:rPr>
              <w:t>自由</w:t>
            </w:r>
          </w:p>
          <w:p w14:paraId="72D9152A">
            <w:pPr>
              <w:jc w:val="center"/>
              <w:rPr>
                <w:rFonts w:ascii="宋体" w:hAnsi="宋体"/>
                <w:sz w:val="18"/>
                <w:szCs w:val="18"/>
              </w:rPr>
            </w:pPr>
            <w:r>
              <w:rPr>
                <w:rFonts w:hint="eastAsia" w:ascii="宋体" w:hAnsi="宋体"/>
                <w:sz w:val="18"/>
                <w:szCs w:val="18"/>
              </w:rPr>
              <w:t>跌落</w:t>
            </w:r>
          </w:p>
        </w:tc>
        <w:tc>
          <w:tcPr>
            <w:tcW w:w="4634" w:type="dxa"/>
            <w:vAlign w:val="center"/>
          </w:tcPr>
          <w:p w14:paraId="7324B3B9">
            <w:pPr>
              <w:jc w:val="center"/>
              <w:rPr>
                <w:rFonts w:ascii="宋体" w:hAnsi="宋体"/>
                <w:sz w:val="18"/>
                <w:szCs w:val="18"/>
              </w:rPr>
            </w:pPr>
            <w:r>
              <w:rPr>
                <w:rFonts w:hint="eastAsia" w:ascii="宋体" w:hAnsi="宋体"/>
                <w:sz w:val="18"/>
                <w:szCs w:val="18"/>
              </w:rPr>
              <w:t>包装件质量</w:t>
            </w:r>
            <w:r>
              <w:rPr>
                <w:rFonts w:hint="eastAsia" w:ascii="宋体" w:hAnsi="宋体" w:cs="宋体"/>
                <w:kern w:val="0"/>
                <w:sz w:val="18"/>
                <w:szCs w:val="18"/>
              </w:rPr>
              <w:t>≤15kg时自由跌落高度</w:t>
            </w:r>
          </w:p>
        </w:tc>
        <w:tc>
          <w:tcPr>
            <w:tcW w:w="851" w:type="dxa"/>
            <w:vMerge w:val="restart"/>
            <w:vAlign w:val="center"/>
          </w:tcPr>
          <w:p w14:paraId="4CA690FE">
            <w:pPr>
              <w:jc w:val="center"/>
              <w:rPr>
                <w:rFonts w:ascii="宋体" w:hAnsi="宋体"/>
                <w:sz w:val="18"/>
                <w:szCs w:val="18"/>
              </w:rPr>
            </w:pPr>
            <w:r>
              <w:rPr>
                <w:rFonts w:hint="eastAsia" w:ascii="宋体" w:hAnsi="宋体"/>
                <w:sz w:val="18"/>
                <w:szCs w:val="18"/>
              </w:rPr>
              <w:t>mm</w:t>
            </w:r>
          </w:p>
        </w:tc>
        <w:tc>
          <w:tcPr>
            <w:tcW w:w="1247" w:type="dxa"/>
            <w:vAlign w:val="center"/>
          </w:tcPr>
          <w:p w14:paraId="4EB9590C">
            <w:pPr>
              <w:jc w:val="center"/>
              <w:rPr>
                <w:rFonts w:ascii="宋体" w:hAnsi="宋体"/>
                <w:sz w:val="18"/>
                <w:szCs w:val="18"/>
              </w:rPr>
            </w:pPr>
            <w:r>
              <w:rPr>
                <w:rFonts w:ascii="宋体" w:hAnsi="宋体"/>
                <w:sz w:val="18"/>
                <w:szCs w:val="18"/>
              </w:rPr>
              <w:t>1000</w:t>
            </w:r>
          </w:p>
        </w:tc>
        <w:tc>
          <w:tcPr>
            <w:tcW w:w="1247" w:type="dxa"/>
            <w:vMerge w:val="restart"/>
            <w:vAlign w:val="center"/>
          </w:tcPr>
          <w:p w14:paraId="14137094">
            <w:pPr>
              <w:jc w:val="center"/>
              <w:rPr>
                <w:rFonts w:ascii="宋体" w:hAnsi="宋体"/>
                <w:sz w:val="18"/>
                <w:szCs w:val="18"/>
              </w:rPr>
            </w:pPr>
            <w:r>
              <w:rPr>
                <w:rFonts w:ascii="宋体" w:hAnsi="宋体"/>
                <w:sz w:val="18"/>
                <w:szCs w:val="18"/>
              </w:rPr>
              <w:t>——</w:t>
            </w:r>
          </w:p>
        </w:tc>
      </w:tr>
      <w:tr w14:paraId="28C11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2" w:type="dxa"/>
            <w:vMerge w:val="continue"/>
            <w:vAlign w:val="center"/>
          </w:tcPr>
          <w:p w14:paraId="67F7A898">
            <w:pPr>
              <w:jc w:val="center"/>
              <w:rPr>
                <w:rFonts w:ascii="宋体" w:hAnsi="宋体"/>
                <w:sz w:val="18"/>
                <w:szCs w:val="18"/>
              </w:rPr>
            </w:pPr>
          </w:p>
        </w:tc>
        <w:tc>
          <w:tcPr>
            <w:tcW w:w="709" w:type="dxa"/>
            <w:vMerge w:val="continue"/>
            <w:vAlign w:val="center"/>
          </w:tcPr>
          <w:p w14:paraId="1E6BBAF0">
            <w:pPr>
              <w:jc w:val="center"/>
              <w:rPr>
                <w:rFonts w:ascii="宋体" w:hAnsi="宋体"/>
                <w:sz w:val="18"/>
                <w:szCs w:val="18"/>
              </w:rPr>
            </w:pPr>
          </w:p>
        </w:tc>
        <w:tc>
          <w:tcPr>
            <w:tcW w:w="4634" w:type="dxa"/>
            <w:vAlign w:val="center"/>
          </w:tcPr>
          <w:p w14:paraId="26B6FE63">
            <w:pPr>
              <w:jc w:val="center"/>
              <w:rPr>
                <w:rFonts w:ascii="宋体" w:hAnsi="宋体"/>
                <w:sz w:val="18"/>
                <w:szCs w:val="18"/>
              </w:rPr>
            </w:pPr>
            <w:r>
              <w:rPr>
                <w:rFonts w:hint="eastAsia" w:ascii="宋体" w:hAnsi="宋体"/>
                <w:sz w:val="18"/>
                <w:szCs w:val="18"/>
              </w:rPr>
              <w:t>15kg＜包装件质量</w:t>
            </w:r>
            <w:r>
              <w:rPr>
                <w:rFonts w:hint="eastAsia" w:ascii="宋体" w:hAnsi="宋体" w:cs="宋体"/>
                <w:kern w:val="0"/>
                <w:sz w:val="18"/>
                <w:szCs w:val="18"/>
              </w:rPr>
              <w:t>≤40kg时自由跌落高度</w:t>
            </w:r>
          </w:p>
        </w:tc>
        <w:tc>
          <w:tcPr>
            <w:tcW w:w="851" w:type="dxa"/>
            <w:vMerge w:val="continue"/>
            <w:vAlign w:val="center"/>
          </w:tcPr>
          <w:p w14:paraId="703D9D14">
            <w:pPr>
              <w:jc w:val="center"/>
              <w:rPr>
                <w:rFonts w:ascii="宋体" w:hAnsi="宋体"/>
                <w:sz w:val="18"/>
                <w:szCs w:val="18"/>
              </w:rPr>
            </w:pPr>
          </w:p>
        </w:tc>
        <w:tc>
          <w:tcPr>
            <w:tcW w:w="1247" w:type="dxa"/>
            <w:vAlign w:val="center"/>
          </w:tcPr>
          <w:p w14:paraId="70C3AB8D">
            <w:pPr>
              <w:jc w:val="center"/>
              <w:rPr>
                <w:rFonts w:ascii="宋体" w:hAnsi="宋体"/>
                <w:sz w:val="18"/>
                <w:szCs w:val="18"/>
              </w:rPr>
            </w:pPr>
            <w:r>
              <w:rPr>
                <w:rFonts w:ascii="宋体" w:hAnsi="宋体"/>
                <w:sz w:val="18"/>
                <w:szCs w:val="18"/>
              </w:rPr>
              <w:t>500</w:t>
            </w:r>
          </w:p>
        </w:tc>
        <w:tc>
          <w:tcPr>
            <w:tcW w:w="1247" w:type="dxa"/>
            <w:vMerge w:val="continue"/>
            <w:vAlign w:val="center"/>
          </w:tcPr>
          <w:p w14:paraId="02006F03">
            <w:pPr>
              <w:jc w:val="center"/>
              <w:rPr>
                <w:rFonts w:ascii="宋体" w:hAnsi="宋体"/>
                <w:sz w:val="18"/>
                <w:szCs w:val="18"/>
              </w:rPr>
            </w:pPr>
          </w:p>
        </w:tc>
      </w:tr>
      <w:tr w14:paraId="1A796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2" w:type="dxa"/>
            <w:vMerge w:val="continue"/>
            <w:vAlign w:val="center"/>
          </w:tcPr>
          <w:p w14:paraId="7D8EFEFD">
            <w:pPr>
              <w:jc w:val="center"/>
              <w:rPr>
                <w:rFonts w:ascii="宋体" w:hAnsi="宋体"/>
                <w:sz w:val="18"/>
                <w:szCs w:val="18"/>
              </w:rPr>
            </w:pPr>
          </w:p>
        </w:tc>
        <w:tc>
          <w:tcPr>
            <w:tcW w:w="709" w:type="dxa"/>
            <w:vMerge w:val="continue"/>
            <w:vAlign w:val="center"/>
          </w:tcPr>
          <w:p w14:paraId="003EA5D9">
            <w:pPr>
              <w:jc w:val="center"/>
              <w:rPr>
                <w:rFonts w:ascii="宋体" w:hAnsi="宋体"/>
                <w:sz w:val="18"/>
                <w:szCs w:val="18"/>
              </w:rPr>
            </w:pPr>
          </w:p>
        </w:tc>
        <w:tc>
          <w:tcPr>
            <w:tcW w:w="4634" w:type="dxa"/>
            <w:vAlign w:val="center"/>
          </w:tcPr>
          <w:p w14:paraId="428C66C0">
            <w:pPr>
              <w:jc w:val="center"/>
              <w:rPr>
                <w:rFonts w:ascii="宋体" w:hAnsi="宋体"/>
                <w:sz w:val="18"/>
                <w:szCs w:val="18"/>
              </w:rPr>
            </w:pPr>
            <w:r>
              <w:rPr>
                <w:rFonts w:hint="eastAsia" w:ascii="宋体" w:hAnsi="宋体"/>
                <w:sz w:val="18"/>
                <w:szCs w:val="18"/>
              </w:rPr>
              <w:t>40kg＜包装件质量</w:t>
            </w:r>
            <w:r>
              <w:rPr>
                <w:rFonts w:hint="eastAsia" w:ascii="宋体" w:hAnsi="宋体" w:cs="宋体"/>
                <w:kern w:val="0"/>
                <w:sz w:val="18"/>
                <w:szCs w:val="18"/>
              </w:rPr>
              <w:t>≤75kg时自由跌落高度</w:t>
            </w:r>
          </w:p>
        </w:tc>
        <w:tc>
          <w:tcPr>
            <w:tcW w:w="851" w:type="dxa"/>
            <w:vMerge w:val="continue"/>
            <w:vAlign w:val="center"/>
          </w:tcPr>
          <w:p w14:paraId="5A0840AF">
            <w:pPr>
              <w:jc w:val="center"/>
              <w:rPr>
                <w:rFonts w:ascii="宋体" w:hAnsi="宋体"/>
                <w:sz w:val="18"/>
                <w:szCs w:val="18"/>
              </w:rPr>
            </w:pPr>
          </w:p>
        </w:tc>
        <w:tc>
          <w:tcPr>
            <w:tcW w:w="1247" w:type="dxa"/>
            <w:vAlign w:val="center"/>
          </w:tcPr>
          <w:p w14:paraId="4B2C204D">
            <w:pPr>
              <w:jc w:val="center"/>
              <w:rPr>
                <w:rFonts w:ascii="宋体" w:hAnsi="宋体"/>
                <w:sz w:val="18"/>
                <w:szCs w:val="18"/>
              </w:rPr>
            </w:pPr>
            <w:r>
              <w:rPr>
                <w:rFonts w:ascii="宋体" w:hAnsi="宋体"/>
                <w:sz w:val="18"/>
                <w:szCs w:val="18"/>
              </w:rPr>
              <w:t>250</w:t>
            </w:r>
          </w:p>
        </w:tc>
        <w:tc>
          <w:tcPr>
            <w:tcW w:w="1247" w:type="dxa"/>
            <w:vMerge w:val="continue"/>
            <w:vAlign w:val="center"/>
          </w:tcPr>
          <w:p w14:paraId="293DCE24">
            <w:pPr>
              <w:jc w:val="center"/>
              <w:rPr>
                <w:rFonts w:ascii="宋体" w:hAnsi="宋体"/>
                <w:sz w:val="18"/>
                <w:szCs w:val="18"/>
              </w:rPr>
            </w:pPr>
          </w:p>
        </w:tc>
      </w:tr>
      <w:tr w14:paraId="423FA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2" w:type="dxa"/>
            <w:vMerge w:val="continue"/>
            <w:vAlign w:val="center"/>
          </w:tcPr>
          <w:p w14:paraId="78F4AA28">
            <w:pPr>
              <w:jc w:val="center"/>
              <w:rPr>
                <w:rFonts w:ascii="宋体" w:hAnsi="宋体"/>
                <w:sz w:val="18"/>
                <w:szCs w:val="18"/>
              </w:rPr>
            </w:pPr>
          </w:p>
        </w:tc>
        <w:tc>
          <w:tcPr>
            <w:tcW w:w="709" w:type="dxa"/>
            <w:vMerge w:val="restart"/>
            <w:vAlign w:val="center"/>
          </w:tcPr>
          <w:p w14:paraId="39A13906">
            <w:pPr>
              <w:jc w:val="center"/>
              <w:rPr>
                <w:rFonts w:ascii="宋体" w:hAnsi="宋体"/>
                <w:sz w:val="18"/>
                <w:szCs w:val="18"/>
              </w:rPr>
            </w:pPr>
            <w:r>
              <w:rPr>
                <w:rFonts w:hint="eastAsia" w:ascii="宋体" w:hAnsi="宋体"/>
                <w:sz w:val="18"/>
                <w:szCs w:val="18"/>
              </w:rPr>
              <w:t>平面</w:t>
            </w:r>
          </w:p>
          <w:p w14:paraId="4C2AF5F7">
            <w:pPr>
              <w:jc w:val="center"/>
              <w:rPr>
                <w:rFonts w:ascii="宋体" w:hAnsi="宋体"/>
                <w:sz w:val="18"/>
                <w:szCs w:val="18"/>
              </w:rPr>
            </w:pPr>
            <w:r>
              <w:rPr>
                <w:rFonts w:hint="eastAsia" w:ascii="宋体" w:hAnsi="宋体"/>
                <w:sz w:val="18"/>
                <w:szCs w:val="18"/>
              </w:rPr>
              <w:t>跌落</w:t>
            </w:r>
          </w:p>
        </w:tc>
        <w:tc>
          <w:tcPr>
            <w:tcW w:w="4634" w:type="dxa"/>
            <w:vAlign w:val="center"/>
          </w:tcPr>
          <w:p w14:paraId="4BFE2466">
            <w:pPr>
              <w:jc w:val="center"/>
              <w:rPr>
                <w:rFonts w:ascii="宋体" w:hAnsi="宋体"/>
                <w:sz w:val="18"/>
                <w:szCs w:val="18"/>
              </w:rPr>
            </w:pPr>
            <w:r>
              <w:rPr>
                <w:rFonts w:hint="eastAsia" w:ascii="宋体" w:hAnsi="宋体"/>
                <w:sz w:val="18"/>
                <w:szCs w:val="18"/>
              </w:rPr>
              <w:t>包装件底面边长</w:t>
            </w:r>
            <w:r>
              <w:rPr>
                <w:rFonts w:hint="eastAsia" w:ascii="宋体" w:hAnsi="宋体" w:cs="宋体"/>
                <w:kern w:val="0"/>
                <w:sz w:val="18"/>
                <w:szCs w:val="18"/>
              </w:rPr>
              <w:t>＜500mm时，底面与试验台面的夹角</w:t>
            </w:r>
          </w:p>
        </w:tc>
        <w:tc>
          <w:tcPr>
            <w:tcW w:w="851" w:type="dxa"/>
            <w:vAlign w:val="center"/>
          </w:tcPr>
          <w:p w14:paraId="224638B3">
            <w:pPr>
              <w:jc w:val="center"/>
              <w:rPr>
                <w:rFonts w:ascii="宋体" w:hAnsi="宋体"/>
                <w:sz w:val="18"/>
                <w:szCs w:val="18"/>
                <w:vertAlign w:val="superscript"/>
              </w:rPr>
            </w:pPr>
            <w:r>
              <w:rPr>
                <w:rFonts w:hint="eastAsia" w:ascii="宋体" w:hAnsi="宋体"/>
                <w:sz w:val="18"/>
                <w:szCs w:val="18"/>
              </w:rPr>
              <w:t>（</w:t>
            </w:r>
            <w:r>
              <w:rPr>
                <w:rFonts w:hint="eastAsia" w:ascii="宋体" w:hAnsi="宋体"/>
                <w:sz w:val="18"/>
                <w:szCs w:val="18"/>
                <w:vertAlign w:val="superscript"/>
              </w:rPr>
              <w:t>0</w:t>
            </w:r>
            <w:r>
              <w:rPr>
                <w:rFonts w:hint="eastAsia" w:ascii="宋体" w:hAnsi="宋体"/>
                <w:sz w:val="18"/>
                <w:szCs w:val="18"/>
              </w:rPr>
              <w:t>）</w:t>
            </w:r>
          </w:p>
        </w:tc>
        <w:tc>
          <w:tcPr>
            <w:tcW w:w="1247" w:type="dxa"/>
            <w:vAlign w:val="center"/>
          </w:tcPr>
          <w:p w14:paraId="6554D749">
            <w:pPr>
              <w:jc w:val="center"/>
              <w:rPr>
                <w:rFonts w:ascii="宋体" w:hAnsi="宋体"/>
                <w:sz w:val="18"/>
                <w:szCs w:val="18"/>
              </w:rPr>
            </w:pPr>
            <w:r>
              <w:rPr>
                <w:rFonts w:ascii="宋体" w:hAnsi="宋体"/>
                <w:sz w:val="18"/>
                <w:szCs w:val="18"/>
              </w:rPr>
              <w:t>30</w:t>
            </w:r>
          </w:p>
        </w:tc>
        <w:tc>
          <w:tcPr>
            <w:tcW w:w="1247" w:type="dxa"/>
            <w:vAlign w:val="center"/>
          </w:tcPr>
          <w:p w14:paraId="1EF4345D">
            <w:pPr>
              <w:jc w:val="center"/>
              <w:rPr>
                <w:rFonts w:ascii="宋体" w:hAnsi="宋体"/>
                <w:sz w:val="18"/>
                <w:szCs w:val="18"/>
              </w:rPr>
            </w:pPr>
            <w:r>
              <w:rPr>
                <w:rFonts w:ascii="宋体" w:hAnsi="宋体"/>
                <w:sz w:val="18"/>
                <w:szCs w:val="18"/>
              </w:rPr>
              <w:t>——</w:t>
            </w:r>
          </w:p>
        </w:tc>
      </w:tr>
      <w:tr w14:paraId="63061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2" w:type="dxa"/>
            <w:vMerge w:val="continue"/>
            <w:vAlign w:val="center"/>
          </w:tcPr>
          <w:p w14:paraId="13ABC7A3">
            <w:pPr>
              <w:jc w:val="center"/>
              <w:rPr>
                <w:rFonts w:ascii="宋体" w:hAnsi="宋体"/>
                <w:sz w:val="18"/>
                <w:szCs w:val="18"/>
              </w:rPr>
            </w:pPr>
          </w:p>
        </w:tc>
        <w:tc>
          <w:tcPr>
            <w:tcW w:w="709" w:type="dxa"/>
            <w:vMerge w:val="continue"/>
            <w:vAlign w:val="center"/>
          </w:tcPr>
          <w:p w14:paraId="64A2B92E">
            <w:pPr>
              <w:jc w:val="center"/>
              <w:rPr>
                <w:rFonts w:ascii="宋体" w:hAnsi="宋体"/>
                <w:sz w:val="18"/>
                <w:szCs w:val="18"/>
              </w:rPr>
            </w:pPr>
          </w:p>
        </w:tc>
        <w:tc>
          <w:tcPr>
            <w:tcW w:w="4634" w:type="dxa"/>
            <w:vAlign w:val="center"/>
          </w:tcPr>
          <w:p w14:paraId="7131877E">
            <w:pPr>
              <w:jc w:val="center"/>
              <w:rPr>
                <w:rFonts w:ascii="宋体" w:hAnsi="宋体"/>
                <w:spacing w:val="-4"/>
                <w:sz w:val="18"/>
                <w:szCs w:val="18"/>
              </w:rPr>
            </w:pPr>
            <w:r>
              <w:rPr>
                <w:rFonts w:hint="eastAsia" w:ascii="宋体" w:hAnsi="宋体"/>
                <w:spacing w:val="-4"/>
                <w:sz w:val="18"/>
                <w:szCs w:val="18"/>
              </w:rPr>
              <w:t>包装件底面边长</w:t>
            </w:r>
            <w:r>
              <w:rPr>
                <w:rFonts w:hint="eastAsia" w:ascii="宋体" w:hAnsi="宋体" w:cs="宋体"/>
                <w:spacing w:val="-4"/>
                <w:kern w:val="0"/>
                <w:sz w:val="18"/>
                <w:szCs w:val="18"/>
              </w:rPr>
              <w:t>≥500mm时，底面与试验台面的最高间距</w:t>
            </w:r>
          </w:p>
        </w:tc>
        <w:tc>
          <w:tcPr>
            <w:tcW w:w="851" w:type="dxa"/>
            <w:vAlign w:val="center"/>
          </w:tcPr>
          <w:p w14:paraId="733E6B23">
            <w:pPr>
              <w:jc w:val="center"/>
              <w:rPr>
                <w:rFonts w:ascii="宋体" w:hAnsi="宋体"/>
                <w:sz w:val="18"/>
                <w:szCs w:val="18"/>
              </w:rPr>
            </w:pPr>
            <w:r>
              <w:rPr>
                <w:rFonts w:hint="eastAsia" w:ascii="宋体" w:hAnsi="宋体"/>
                <w:sz w:val="18"/>
                <w:szCs w:val="18"/>
              </w:rPr>
              <w:t>mm</w:t>
            </w:r>
          </w:p>
        </w:tc>
        <w:tc>
          <w:tcPr>
            <w:tcW w:w="1247" w:type="dxa"/>
            <w:vAlign w:val="center"/>
          </w:tcPr>
          <w:p w14:paraId="22CE3D6B">
            <w:pPr>
              <w:jc w:val="center"/>
              <w:rPr>
                <w:rFonts w:ascii="宋体" w:hAnsi="宋体"/>
                <w:sz w:val="18"/>
                <w:szCs w:val="18"/>
              </w:rPr>
            </w:pPr>
            <w:r>
              <w:rPr>
                <w:rFonts w:ascii="宋体" w:hAnsi="宋体"/>
                <w:sz w:val="18"/>
                <w:szCs w:val="18"/>
              </w:rPr>
              <w:t>250</w:t>
            </w:r>
          </w:p>
        </w:tc>
        <w:tc>
          <w:tcPr>
            <w:tcW w:w="1247" w:type="dxa"/>
            <w:vAlign w:val="center"/>
          </w:tcPr>
          <w:p w14:paraId="45EB1383">
            <w:pPr>
              <w:jc w:val="center"/>
              <w:rPr>
                <w:rFonts w:ascii="宋体" w:hAnsi="宋体"/>
                <w:sz w:val="18"/>
                <w:szCs w:val="18"/>
              </w:rPr>
            </w:pPr>
            <w:r>
              <w:rPr>
                <w:rFonts w:ascii="宋体" w:hAnsi="宋体"/>
                <w:sz w:val="18"/>
                <w:szCs w:val="18"/>
              </w:rPr>
              <w:t>——</w:t>
            </w:r>
          </w:p>
        </w:tc>
      </w:tr>
    </w:tbl>
    <w:p w14:paraId="5B11AA26">
      <w:pPr>
        <w:adjustRightInd w:val="0"/>
        <w:snapToGrid w:val="0"/>
        <w:jc w:val="left"/>
        <w:rPr>
          <w:rFonts w:ascii="宋体" w:hAnsi="宋体"/>
          <w:sz w:val="18"/>
          <w:szCs w:val="18"/>
        </w:rPr>
      </w:pPr>
    </w:p>
    <w:p w14:paraId="68A79986">
      <w:pPr>
        <w:adjustRightInd w:val="0"/>
        <w:snapToGrid w:val="0"/>
        <w:jc w:val="left"/>
        <w:rPr>
          <w:rFonts w:ascii="宋体" w:hAnsi="宋体"/>
          <w:sz w:val="18"/>
          <w:szCs w:val="18"/>
        </w:rPr>
      </w:pPr>
    </w:p>
    <w:p w14:paraId="15883A6B">
      <w:pPr>
        <w:adjustRightInd w:val="0"/>
        <w:snapToGrid w:val="0"/>
        <w:jc w:val="left"/>
        <w:rPr>
          <w:rFonts w:ascii="宋体" w:hAnsi="宋体"/>
          <w:sz w:val="18"/>
          <w:szCs w:val="18"/>
        </w:rPr>
      </w:pPr>
    </w:p>
    <w:p w14:paraId="3272D38D">
      <w:pPr>
        <w:adjustRightInd w:val="0"/>
        <w:snapToGrid w:val="0"/>
        <w:jc w:val="left"/>
        <w:rPr>
          <w:rFonts w:ascii="宋体" w:hAnsi="宋体"/>
          <w:sz w:val="18"/>
          <w:szCs w:val="18"/>
        </w:rPr>
      </w:pPr>
    </w:p>
    <w:p w14:paraId="7EBFD463">
      <w:pPr>
        <w:adjustRightInd w:val="0"/>
        <w:snapToGrid w:val="0"/>
        <w:jc w:val="left"/>
        <w:rPr>
          <w:rFonts w:ascii="宋体" w:hAnsi="宋体"/>
          <w:sz w:val="18"/>
          <w:szCs w:val="18"/>
        </w:rPr>
      </w:pPr>
    </w:p>
    <w:p w14:paraId="60D09D34">
      <w:pPr>
        <w:adjustRightInd w:val="0"/>
        <w:snapToGrid w:val="0"/>
        <w:jc w:val="left"/>
        <w:rPr>
          <w:rFonts w:ascii="宋体" w:hAnsi="宋体"/>
          <w:sz w:val="18"/>
          <w:szCs w:val="18"/>
        </w:rPr>
      </w:pPr>
    </w:p>
    <w:p w14:paraId="37F5CA0F">
      <w:pPr>
        <w:jc w:val="center"/>
        <w:rPr>
          <w:rFonts w:ascii="宋体" w:hAnsi="宋体"/>
          <w:sz w:val="18"/>
          <w:szCs w:val="18"/>
        </w:rPr>
      </w:pPr>
      <w:r>
        <w:rPr>
          <w:rFonts w:hint="eastAsia" w:ascii="宋体" w:hAnsi="宋体"/>
        </w:rPr>
        <w:t>——————————————</w:t>
      </w:r>
    </w:p>
    <w:p w14:paraId="1DC41246">
      <w:pPr>
        <w:adjustRightInd w:val="0"/>
        <w:snapToGrid w:val="0"/>
        <w:jc w:val="left"/>
        <w:rPr>
          <w:rFonts w:ascii="宋体" w:hAnsi="宋体"/>
        </w:rPr>
      </w:pPr>
      <w:r>
        <w:rPr>
          <w:rFonts w:hint="eastAsia" w:ascii="宋体" w:hAnsi="宋体"/>
          <w:sz w:val="18"/>
          <w:szCs w:val="18"/>
        </w:rPr>
        <w:t>8</w:t>
      </w:r>
    </w:p>
    <w:sectPr>
      <w:pgSz w:w="11907" w:h="16840"/>
      <w:pgMar w:top="850" w:right="1134" w:bottom="850" w:left="1134" w:header="851" w:footer="850" w:gutter="0"/>
      <w:cols w:space="0" w:num="1"/>
      <w:rtlGutter w:val="0"/>
      <w:docGrid w:type="linesAndChars" w:linePitch="353" w:charSpace="185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219"/>
  <w:drawingGridVerticalSpacing w:val="353"/>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A3ZDQwMmNiOWFlYzZjYTcwOWJiZGQ0YTA5ODBmZGUifQ=="/>
  </w:docVars>
  <w:rsids>
    <w:rsidRoot w:val="00DA3442"/>
    <w:rsid w:val="000034D9"/>
    <w:rsid w:val="00011FEA"/>
    <w:rsid w:val="00020A11"/>
    <w:rsid w:val="0002497E"/>
    <w:rsid w:val="00041828"/>
    <w:rsid w:val="000565D2"/>
    <w:rsid w:val="00057041"/>
    <w:rsid w:val="00077A18"/>
    <w:rsid w:val="0008385A"/>
    <w:rsid w:val="000B1397"/>
    <w:rsid w:val="000B2230"/>
    <w:rsid w:val="000B5BF8"/>
    <w:rsid w:val="000D381B"/>
    <w:rsid w:val="000E40E9"/>
    <w:rsid w:val="000E4EA6"/>
    <w:rsid w:val="000E65DD"/>
    <w:rsid w:val="0010246B"/>
    <w:rsid w:val="00116AFA"/>
    <w:rsid w:val="00120D90"/>
    <w:rsid w:val="001411BF"/>
    <w:rsid w:val="00166BAB"/>
    <w:rsid w:val="0017699C"/>
    <w:rsid w:val="0018090A"/>
    <w:rsid w:val="00185E8B"/>
    <w:rsid w:val="001919DE"/>
    <w:rsid w:val="00196DDC"/>
    <w:rsid w:val="001975D3"/>
    <w:rsid w:val="001B2C6C"/>
    <w:rsid w:val="001B340B"/>
    <w:rsid w:val="001B584F"/>
    <w:rsid w:val="001D5336"/>
    <w:rsid w:val="001E1E1F"/>
    <w:rsid w:val="001F10A9"/>
    <w:rsid w:val="001F41E0"/>
    <w:rsid w:val="0020438F"/>
    <w:rsid w:val="00205FE7"/>
    <w:rsid w:val="00215AFB"/>
    <w:rsid w:val="00222766"/>
    <w:rsid w:val="002331AD"/>
    <w:rsid w:val="00237213"/>
    <w:rsid w:val="00241625"/>
    <w:rsid w:val="0024700C"/>
    <w:rsid w:val="002621E9"/>
    <w:rsid w:val="002718DB"/>
    <w:rsid w:val="00276F0A"/>
    <w:rsid w:val="002770CF"/>
    <w:rsid w:val="00280516"/>
    <w:rsid w:val="00295FBD"/>
    <w:rsid w:val="0029626F"/>
    <w:rsid w:val="002B39F2"/>
    <w:rsid w:val="002C2FF4"/>
    <w:rsid w:val="00306094"/>
    <w:rsid w:val="00313CE9"/>
    <w:rsid w:val="0032296F"/>
    <w:rsid w:val="0034765B"/>
    <w:rsid w:val="003631FD"/>
    <w:rsid w:val="003A4E0D"/>
    <w:rsid w:val="003B702A"/>
    <w:rsid w:val="003E472F"/>
    <w:rsid w:val="003F0699"/>
    <w:rsid w:val="003F4ADF"/>
    <w:rsid w:val="00400C30"/>
    <w:rsid w:val="00407BD9"/>
    <w:rsid w:val="00413E1A"/>
    <w:rsid w:val="004240C3"/>
    <w:rsid w:val="00440672"/>
    <w:rsid w:val="004410A0"/>
    <w:rsid w:val="00445E4A"/>
    <w:rsid w:val="00450A2A"/>
    <w:rsid w:val="00452E86"/>
    <w:rsid w:val="0046069C"/>
    <w:rsid w:val="0047282C"/>
    <w:rsid w:val="00475357"/>
    <w:rsid w:val="00492912"/>
    <w:rsid w:val="004A1BBA"/>
    <w:rsid w:val="004A254C"/>
    <w:rsid w:val="004A2A2F"/>
    <w:rsid w:val="004A3980"/>
    <w:rsid w:val="004B7FCE"/>
    <w:rsid w:val="004D7C8A"/>
    <w:rsid w:val="004E27E5"/>
    <w:rsid w:val="004E6176"/>
    <w:rsid w:val="004F033C"/>
    <w:rsid w:val="004F1C70"/>
    <w:rsid w:val="0052104E"/>
    <w:rsid w:val="005375A6"/>
    <w:rsid w:val="00540B1A"/>
    <w:rsid w:val="00552905"/>
    <w:rsid w:val="00580793"/>
    <w:rsid w:val="00580DB8"/>
    <w:rsid w:val="005957F9"/>
    <w:rsid w:val="005B3180"/>
    <w:rsid w:val="005B4B1D"/>
    <w:rsid w:val="005C0674"/>
    <w:rsid w:val="005D68DA"/>
    <w:rsid w:val="00621074"/>
    <w:rsid w:val="0063747F"/>
    <w:rsid w:val="00637507"/>
    <w:rsid w:val="00652415"/>
    <w:rsid w:val="00662A80"/>
    <w:rsid w:val="00675EEB"/>
    <w:rsid w:val="00681E90"/>
    <w:rsid w:val="00694CE2"/>
    <w:rsid w:val="006B1A3A"/>
    <w:rsid w:val="006B22F9"/>
    <w:rsid w:val="006B483F"/>
    <w:rsid w:val="006C020A"/>
    <w:rsid w:val="006D215B"/>
    <w:rsid w:val="006D536B"/>
    <w:rsid w:val="006E2101"/>
    <w:rsid w:val="00706994"/>
    <w:rsid w:val="00716ADA"/>
    <w:rsid w:val="007342E1"/>
    <w:rsid w:val="00736D6D"/>
    <w:rsid w:val="007438EF"/>
    <w:rsid w:val="0075551D"/>
    <w:rsid w:val="00790DD7"/>
    <w:rsid w:val="00795726"/>
    <w:rsid w:val="007A371A"/>
    <w:rsid w:val="007B0D5C"/>
    <w:rsid w:val="007C1BB3"/>
    <w:rsid w:val="007C7559"/>
    <w:rsid w:val="00812494"/>
    <w:rsid w:val="00817B7C"/>
    <w:rsid w:val="008341A9"/>
    <w:rsid w:val="008702D8"/>
    <w:rsid w:val="00870E4B"/>
    <w:rsid w:val="0088234A"/>
    <w:rsid w:val="008A0BBA"/>
    <w:rsid w:val="008B1E78"/>
    <w:rsid w:val="008C3263"/>
    <w:rsid w:val="008C66AA"/>
    <w:rsid w:val="008E7B4A"/>
    <w:rsid w:val="008F21B7"/>
    <w:rsid w:val="00911EF8"/>
    <w:rsid w:val="009158A3"/>
    <w:rsid w:val="00922883"/>
    <w:rsid w:val="009309BB"/>
    <w:rsid w:val="00951B85"/>
    <w:rsid w:val="0096068F"/>
    <w:rsid w:val="00976FA2"/>
    <w:rsid w:val="00981B97"/>
    <w:rsid w:val="009A1D68"/>
    <w:rsid w:val="009C1B2B"/>
    <w:rsid w:val="009C52D3"/>
    <w:rsid w:val="009D6929"/>
    <w:rsid w:val="009E6A2B"/>
    <w:rsid w:val="009F3548"/>
    <w:rsid w:val="00A0763A"/>
    <w:rsid w:val="00A11B55"/>
    <w:rsid w:val="00A14FC7"/>
    <w:rsid w:val="00A2001D"/>
    <w:rsid w:val="00A25F32"/>
    <w:rsid w:val="00A50DBD"/>
    <w:rsid w:val="00A560A2"/>
    <w:rsid w:val="00A71F2E"/>
    <w:rsid w:val="00A963E9"/>
    <w:rsid w:val="00AA3B18"/>
    <w:rsid w:val="00AB3999"/>
    <w:rsid w:val="00AB4C87"/>
    <w:rsid w:val="00AB701B"/>
    <w:rsid w:val="00AE2953"/>
    <w:rsid w:val="00AF01C2"/>
    <w:rsid w:val="00AF2F31"/>
    <w:rsid w:val="00AF50DC"/>
    <w:rsid w:val="00B032DC"/>
    <w:rsid w:val="00B34BF4"/>
    <w:rsid w:val="00B35D74"/>
    <w:rsid w:val="00B57953"/>
    <w:rsid w:val="00B657FD"/>
    <w:rsid w:val="00B713FB"/>
    <w:rsid w:val="00B9305B"/>
    <w:rsid w:val="00BA0B2D"/>
    <w:rsid w:val="00BA3732"/>
    <w:rsid w:val="00BC39BC"/>
    <w:rsid w:val="00BD2748"/>
    <w:rsid w:val="00BD2995"/>
    <w:rsid w:val="00BD72E9"/>
    <w:rsid w:val="00BE6B62"/>
    <w:rsid w:val="00C05898"/>
    <w:rsid w:val="00C32163"/>
    <w:rsid w:val="00C36D98"/>
    <w:rsid w:val="00C40801"/>
    <w:rsid w:val="00C44320"/>
    <w:rsid w:val="00C57328"/>
    <w:rsid w:val="00C63F95"/>
    <w:rsid w:val="00C641D6"/>
    <w:rsid w:val="00C856BB"/>
    <w:rsid w:val="00C979CC"/>
    <w:rsid w:val="00CA575C"/>
    <w:rsid w:val="00CB0EA0"/>
    <w:rsid w:val="00CB66EB"/>
    <w:rsid w:val="00CC622C"/>
    <w:rsid w:val="00CF052B"/>
    <w:rsid w:val="00CF0C80"/>
    <w:rsid w:val="00CF0CE9"/>
    <w:rsid w:val="00CF26CE"/>
    <w:rsid w:val="00D07DC9"/>
    <w:rsid w:val="00D12012"/>
    <w:rsid w:val="00D45AC1"/>
    <w:rsid w:val="00D717AD"/>
    <w:rsid w:val="00D834A0"/>
    <w:rsid w:val="00DA3442"/>
    <w:rsid w:val="00DB37EE"/>
    <w:rsid w:val="00DC7C08"/>
    <w:rsid w:val="00DD07BE"/>
    <w:rsid w:val="00DD6382"/>
    <w:rsid w:val="00E160AB"/>
    <w:rsid w:val="00E426C1"/>
    <w:rsid w:val="00E47F28"/>
    <w:rsid w:val="00E57814"/>
    <w:rsid w:val="00E92B93"/>
    <w:rsid w:val="00E94C39"/>
    <w:rsid w:val="00EB5D07"/>
    <w:rsid w:val="00EC2D55"/>
    <w:rsid w:val="00EC64C5"/>
    <w:rsid w:val="00ED6D9E"/>
    <w:rsid w:val="00EE4237"/>
    <w:rsid w:val="00EF0911"/>
    <w:rsid w:val="00EF2A2B"/>
    <w:rsid w:val="00EF4937"/>
    <w:rsid w:val="00EF772A"/>
    <w:rsid w:val="00F019A0"/>
    <w:rsid w:val="00F07223"/>
    <w:rsid w:val="00F268CC"/>
    <w:rsid w:val="00F3641B"/>
    <w:rsid w:val="00F502CF"/>
    <w:rsid w:val="00F56715"/>
    <w:rsid w:val="00F7524E"/>
    <w:rsid w:val="00F77AA2"/>
    <w:rsid w:val="00F904F4"/>
    <w:rsid w:val="00F913CD"/>
    <w:rsid w:val="00F92560"/>
    <w:rsid w:val="00F95402"/>
    <w:rsid w:val="00F96743"/>
    <w:rsid w:val="00FA3188"/>
    <w:rsid w:val="00FA6045"/>
    <w:rsid w:val="00FB7169"/>
    <w:rsid w:val="00FE3CC9"/>
    <w:rsid w:val="00FF01B0"/>
    <w:rsid w:val="00FF1BFB"/>
    <w:rsid w:val="00FF7D4E"/>
    <w:rsid w:val="0F9E2FA6"/>
    <w:rsid w:val="265C2C8F"/>
    <w:rsid w:val="26FA6376"/>
    <w:rsid w:val="2D625D09"/>
    <w:rsid w:val="37580192"/>
    <w:rsid w:val="3FDD156D"/>
    <w:rsid w:val="430F6D9A"/>
    <w:rsid w:val="63BA41CC"/>
    <w:rsid w:val="695D61ED"/>
    <w:rsid w:val="6E6F69B0"/>
    <w:rsid w:val="717D0DD5"/>
    <w:rsid w:val="7C1539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outlineLvl w:val="0"/>
    </w:pPr>
    <w:rPr>
      <w:rFonts w:ascii="楷体_GB2312"/>
      <w:sz w:val="28"/>
    </w:rPr>
  </w:style>
  <w:style w:type="paragraph" w:styleId="3">
    <w:name w:val="heading 2"/>
    <w:basedOn w:val="1"/>
    <w:next w:val="1"/>
    <w:qFormat/>
    <w:uiPriority w:val="0"/>
    <w:pPr>
      <w:keepNext/>
      <w:jc w:val="right"/>
      <w:outlineLvl w:val="1"/>
    </w:pPr>
    <w:rPr>
      <w:b/>
      <w:bCs/>
      <w:sz w:val="84"/>
    </w:rPr>
  </w:style>
  <w:style w:type="paragraph" w:styleId="4">
    <w:name w:val="heading 3"/>
    <w:basedOn w:val="1"/>
    <w:next w:val="1"/>
    <w:qFormat/>
    <w:uiPriority w:val="0"/>
    <w:pPr>
      <w:keepNext/>
      <w:jc w:val="right"/>
      <w:outlineLvl w:val="2"/>
    </w:pPr>
    <w:rPr>
      <w:sz w:val="32"/>
    </w:rPr>
  </w:style>
  <w:style w:type="paragraph" w:styleId="5">
    <w:name w:val="heading 4"/>
    <w:basedOn w:val="1"/>
    <w:next w:val="1"/>
    <w:qFormat/>
    <w:uiPriority w:val="0"/>
    <w:pPr>
      <w:keepNext/>
      <w:jc w:val="center"/>
      <w:outlineLvl w:val="3"/>
    </w:pPr>
    <w:rPr>
      <w:b/>
      <w:bCs/>
      <w:sz w:val="32"/>
    </w:rPr>
  </w:style>
  <w:style w:type="character" w:default="1" w:styleId="17">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qFormat/>
    <w:uiPriority w:val="0"/>
    <w:pPr>
      <w:spacing w:before="152" w:after="160"/>
    </w:pPr>
    <w:rPr>
      <w:rFonts w:ascii="Arial" w:hAnsi="Arial" w:eastAsia="黑体" w:cs="Arial"/>
      <w:sz w:val="20"/>
      <w:szCs w:val="20"/>
    </w:rPr>
  </w:style>
  <w:style w:type="paragraph" w:styleId="7">
    <w:name w:val="annotation text"/>
    <w:basedOn w:val="1"/>
    <w:link w:val="22"/>
    <w:qFormat/>
    <w:uiPriority w:val="0"/>
    <w:pPr>
      <w:jc w:val="left"/>
    </w:pPr>
  </w:style>
  <w:style w:type="paragraph" w:styleId="8">
    <w:name w:val="Body Text"/>
    <w:basedOn w:val="1"/>
    <w:qFormat/>
    <w:uiPriority w:val="0"/>
    <w:pPr>
      <w:spacing w:after="120"/>
    </w:pPr>
  </w:style>
  <w:style w:type="paragraph" w:styleId="9">
    <w:name w:val="Body Text Indent"/>
    <w:basedOn w:val="1"/>
    <w:qFormat/>
    <w:uiPriority w:val="0"/>
    <w:pPr>
      <w:ind w:firstLine="436" w:firstLineChars="175"/>
    </w:pPr>
    <w:rPr>
      <w:sz w:val="24"/>
    </w:rPr>
  </w:style>
  <w:style w:type="paragraph" w:styleId="10">
    <w:name w:val="Balloon Text"/>
    <w:basedOn w:val="1"/>
    <w:link w:val="21"/>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annotation subject"/>
    <w:basedOn w:val="7"/>
    <w:next w:val="7"/>
    <w:link w:val="23"/>
    <w:qFormat/>
    <w:uiPriority w:val="0"/>
    <w:rPr>
      <w:b/>
      <w:bCs/>
    </w:rPr>
  </w:style>
  <w:style w:type="paragraph" w:styleId="14">
    <w:name w:val="Body Text First Indent"/>
    <w:basedOn w:val="8"/>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annotation reference"/>
    <w:basedOn w:val="17"/>
    <w:qFormat/>
    <w:uiPriority w:val="0"/>
    <w:rPr>
      <w:sz w:val="21"/>
      <w:szCs w:val="21"/>
    </w:rPr>
  </w:style>
  <w:style w:type="paragraph" w:customStyle="1" w:styleId="19">
    <w:name w:val="Char Char Char1 Char"/>
    <w:basedOn w:val="1"/>
    <w:qFormat/>
    <w:uiPriority w:val="0"/>
  </w:style>
  <w:style w:type="paragraph" w:customStyle="1" w:styleId="20">
    <w:name w:val="Char Char Char1 Char1"/>
    <w:basedOn w:val="1"/>
    <w:qFormat/>
    <w:uiPriority w:val="0"/>
  </w:style>
  <w:style w:type="character" w:customStyle="1" w:styleId="21">
    <w:name w:val="批注框文本 Char"/>
    <w:basedOn w:val="17"/>
    <w:link w:val="10"/>
    <w:qFormat/>
    <w:uiPriority w:val="0"/>
    <w:rPr>
      <w:kern w:val="2"/>
      <w:sz w:val="18"/>
      <w:szCs w:val="18"/>
    </w:rPr>
  </w:style>
  <w:style w:type="character" w:customStyle="1" w:styleId="22">
    <w:name w:val="批注文字 Char"/>
    <w:basedOn w:val="17"/>
    <w:link w:val="7"/>
    <w:qFormat/>
    <w:uiPriority w:val="0"/>
    <w:rPr>
      <w:kern w:val="2"/>
      <w:sz w:val="21"/>
      <w:szCs w:val="24"/>
    </w:rPr>
  </w:style>
  <w:style w:type="character" w:customStyle="1" w:styleId="23">
    <w:name w:val="批注主题 Char"/>
    <w:basedOn w:val="22"/>
    <w:link w:val="13"/>
    <w:qFormat/>
    <w:uiPriority w:val="0"/>
    <w:rPr>
      <w:b/>
      <w:bCs/>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wmf"/><Relationship Id="rId7" Type="http://schemas.openxmlformats.org/officeDocument/2006/relationships/oleObject" Target="embeddings/oleObject1.bin"/><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6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BCE135-F9A2-4490-8190-A987C42B3C13}">
  <ds:schemaRefs/>
</ds:datastoreItem>
</file>

<file path=docProps/app.xml><?xml version="1.0" encoding="utf-8"?>
<Properties xmlns="http://schemas.openxmlformats.org/officeDocument/2006/extended-properties" xmlns:vt="http://schemas.openxmlformats.org/officeDocument/2006/docPropsVTypes">
  <Template>Normal</Template>
  <Company>fytdjy</Company>
  <Pages>10</Pages>
  <Words>4817</Words>
  <Characters>5869</Characters>
  <Lines>65</Lines>
  <Paragraphs>18</Paragraphs>
  <TotalTime>3</TotalTime>
  <ScaleCrop>false</ScaleCrop>
  <LinksUpToDate>false</LinksUpToDate>
  <CharactersWithSpaces>6478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2025-04-07T08:11:00Z</dcterms:created>
  <dc:creator>yhg</dc:creator>
  <cp:lastModifiedBy>邓荣武</cp:lastModifiedBy>
  <cp:lastPrinted>2025-04-17T02:23:00Z</cp:lastPrinted>
  <dcterms:modified xsi:type="dcterms:W3CDTF">2025-06-30T10:07:44Z</dcterms:modified>
  <dc:title>ICS  37</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C9EC49F89EEC45F3A531E0ED7AA8943F_12</vt:lpwstr>
  </property>
  <property fmtid="{D5CDD505-2E9C-101B-9397-08002B2CF9AE}" pid="4" name="KSOTemplateDocerSaveRecord">
    <vt:lpwstr>eyJoZGlkIjoiZDA3ZDQwMmNiOWFlYzZjYTcwOWJiZGQ0YTA5ODBmZGUiLCJ1c2VySWQiOiIxMTMyMTAyMzI5In0=</vt:lpwstr>
  </property>
</Properties>
</file>