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56DC77">
      <w:pPr>
        <w:spacing w:line="380" w:lineRule="exact"/>
        <w:jc w:val="center"/>
        <w:rPr>
          <w:rFonts w:hint="eastAsia" w:ascii="黑体" w:hAnsi="黑体" w:eastAsia="黑体"/>
          <w:sz w:val="30"/>
          <w:szCs w:val="30"/>
        </w:rPr>
      </w:pPr>
    </w:p>
    <w:p w14:paraId="563D466B">
      <w:pPr>
        <w:spacing w:line="380" w:lineRule="exact"/>
        <w:jc w:val="center"/>
        <w:rPr>
          <w:rFonts w:ascii="黑体" w:hAnsi="黑体" w:eastAsia="黑体"/>
          <w:sz w:val="30"/>
          <w:szCs w:val="30"/>
        </w:rPr>
      </w:pPr>
      <w:r>
        <w:rPr>
          <w:rFonts w:hint="eastAsia" w:ascii="黑体" w:hAnsi="黑体" w:eastAsia="黑体"/>
          <w:sz w:val="30"/>
          <w:szCs w:val="30"/>
        </w:rPr>
        <w:t>《电影放映银幕架系统》编制说明</w:t>
      </w:r>
    </w:p>
    <w:p w14:paraId="61E4D7F0">
      <w:pPr>
        <w:spacing w:line="380" w:lineRule="exact"/>
        <w:jc w:val="center"/>
        <w:rPr>
          <w:rFonts w:ascii="黑体" w:hAnsi="黑体" w:eastAsia="黑体"/>
          <w:sz w:val="30"/>
          <w:szCs w:val="30"/>
        </w:rPr>
      </w:pPr>
      <w:r>
        <w:rPr>
          <w:rFonts w:hint="eastAsia" w:ascii="黑体" w:hAnsi="黑体" w:eastAsia="黑体"/>
          <w:sz w:val="30"/>
          <w:szCs w:val="30"/>
        </w:rPr>
        <w:t>(征求意见稿)</w:t>
      </w:r>
    </w:p>
    <w:p w14:paraId="5F3655F8">
      <w:pPr>
        <w:spacing w:line="360" w:lineRule="exact"/>
        <w:rPr>
          <w:rFonts w:ascii="黑体" w:hAnsi="黑体" w:eastAsia="黑体"/>
        </w:rPr>
      </w:pPr>
    </w:p>
    <w:p w14:paraId="757F7D93">
      <w:pPr>
        <w:spacing w:line="360" w:lineRule="exact"/>
        <w:rPr>
          <w:rFonts w:ascii="黑体" w:hAnsi="黑体" w:eastAsia="黑体"/>
        </w:rPr>
      </w:pPr>
      <w:r>
        <w:rPr>
          <w:rFonts w:hint="eastAsia" w:ascii="黑体" w:hAnsi="黑体" w:eastAsia="黑体"/>
        </w:rPr>
        <w:t>一、工作简况</w:t>
      </w:r>
    </w:p>
    <w:p w14:paraId="0C0D4740">
      <w:pPr>
        <w:spacing w:line="360" w:lineRule="exact"/>
        <w:rPr>
          <w:rFonts w:ascii="黑体" w:hAnsi="黑体" w:eastAsia="黑体"/>
        </w:rPr>
      </w:pPr>
      <w:r>
        <w:rPr>
          <w:rFonts w:hint="eastAsia" w:ascii="黑体" w:hAnsi="黑体" w:eastAsia="黑体"/>
        </w:rPr>
        <w:t>1  任务来源</w:t>
      </w:r>
    </w:p>
    <w:p w14:paraId="4883CC5D">
      <w:pPr>
        <w:spacing w:line="360" w:lineRule="exact"/>
        <w:ind w:firstLine="438" w:firstLineChars="200"/>
        <w:rPr>
          <w:rFonts w:ascii="宋体" w:hAnsi="宋体"/>
          <w:color w:val="FF0000"/>
          <w:sz w:val="18"/>
          <w:szCs w:val="18"/>
        </w:rPr>
      </w:pPr>
      <w:r>
        <w:rPr>
          <w:rFonts w:hint="eastAsia" w:ascii="宋体" w:hAnsi="宋体"/>
          <w:color w:val="auto"/>
        </w:rPr>
        <w:t>本项目是根据工业和信息化部行业标准制修订计划(工信厅科函[2025]210号)，计划编号2025-0372T-JB，项目名称“电影放映银幕架系统”进行修订,主要起草单位：芜湖影星巨幕有限公司</w:t>
      </w:r>
      <w:r>
        <w:rPr>
          <w:rFonts w:hint="eastAsia" w:ascii="宋体" w:hAnsi="宋体"/>
          <w:color w:val="auto"/>
          <w:lang w:eastAsia="zh-CN"/>
        </w:rPr>
        <w:t>、</w:t>
      </w:r>
      <w:r>
        <w:rPr>
          <w:rFonts w:hint="eastAsia" w:ascii="宋体" w:hAnsi="宋体"/>
          <w:color w:val="auto"/>
        </w:rPr>
        <w:t>菲涅尔显示科技</w:t>
      </w:r>
      <w:r>
        <w:rPr>
          <w:rFonts w:hint="eastAsia" w:ascii="宋体" w:hAnsi="宋体"/>
          <w:color w:val="auto"/>
          <w:lang w:eastAsia="zh-CN"/>
        </w:rPr>
        <w:t>(</w:t>
      </w:r>
      <w:r>
        <w:rPr>
          <w:rFonts w:hint="eastAsia" w:ascii="宋体" w:hAnsi="宋体"/>
          <w:color w:val="auto"/>
        </w:rPr>
        <w:t>张家港</w:t>
      </w:r>
      <w:r>
        <w:rPr>
          <w:rFonts w:hint="eastAsia" w:ascii="宋体" w:hAnsi="宋体"/>
          <w:color w:val="auto"/>
          <w:lang w:eastAsia="zh-CN"/>
        </w:rPr>
        <w:t>)</w:t>
      </w:r>
      <w:r>
        <w:rPr>
          <w:rFonts w:hint="eastAsia" w:ascii="宋体" w:hAnsi="宋体"/>
          <w:color w:val="auto"/>
        </w:rPr>
        <w:t>有限公司</w:t>
      </w:r>
      <w:r>
        <w:rPr>
          <w:rFonts w:hint="eastAsia" w:ascii="宋体" w:hAnsi="宋体"/>
          <w:color w:val="auto"/>
          <w:lang w:eastAsia="zh-CN"/>
        </w:rPr>
        <w:t>、</w:t>
      </w:r>
      <w:r>
        <w:rPr>
          <w:rFonts w:hint="eastAsia" w:ascii="宋体" w:hAnsi="宋体"/>
          <w:color w:val="auto"/>
        </w:rPr>
        <w:t>泉州知悉企业管理咨询有限公司</w:t>
      </w:r>
      <w:r>
        <w:rPr>
          <w:rFonts w:hint="eastAsia" w:ascii="宋体" w:hAnsi="宋体"/>
          <w:color w:val="auto"/>
          <w:lang w:eastAsia="zh-CN"/>
        </w:rPr>
        <w:t>、</w:t>
      </w:r>
      <w:r>
        <w:rPr>
          <w:rFonts w:hint="eastAsia" w:ascii="宋体" w:hAnsi="宋体"/>
          <w:color w:val="auto"/>
        </w:rPr>
        <w:t>泉州润物科技有限公司，计划应完成时间202</w:t>
      </w:r>
      <w:r>
        <w:rPr>
          <w:rFonts w:hint="eastAsia" w:ascii="宋体" w:hAnsi="宋体"/>
          <w:color w:val="auto"/>
          <w:lang w:val="en-US" w:eastAsia="zh-CN"/>
        </w:rPr>
        <w:t>6</w:t>
      </w:r>
      <w:r>
        <w:rPr>
          <w:rFonts w:hint="eastAsia" w:ascii="宋体" w:hAnsi="宋体"/>
          <w:color w:val="auto"/>
        </w:rPr>
        <w:t>年</w:t>
      </w:r>
      <w:r>
        <w:rPr>
          <w:rFonts w:hint="eastAsia" w:ascii="宋体" w:hAnsi="宋体"/>
          <w:color w:val="auto"/>
          <w:lang w:val="en-US" w:eastAsia="zh-CN"/>
        </w:rPr>
        <w:t>5</w:t>
      </w:r>
      <w:r>
        <w:rPr>
          <w:rFonts w:hint="eastAsia" w:ascii="宋体" w:hAnsi="宋体"/>
          <w:color w:val="auto"/>
        </w:rPr>
        <w:t>月。</w:t>
      </w:r>
    </w:p>
    <w:p w14:paraId="1659D04D">
      <w:pPr>
        <w:spacing w:line="360" w:lineRule="exact"/>
        <w:rPr>
          <w:rFonts w:ascii="黑体" w:hAnsi="黑体" w:eastAsia="黑体"/>
          <w:szCs w:val="21"/>
        </w:rPr>
      </w:pPr>
      <w:r>
        <w:rPr>
          <w:rFonts w:hint="eastAsia" w:ascii="黑体" w:hAnsi="黑体" w:eastAsia="黑体"/>
        </w:rPr>
        <w:t>2  主要工作过程</w:t>
      </w:r>
    </w:p>
    <w:p w14:paraId="600E2667">
      <w:pPr>
        <w:spacing w:line="360" w:lineRule="exact"/>
        <w:ind w:firstLine="438" w:firstLineChars="200"/>
        <w:rPr>
          <w:rFonts w:hint="eastAsia" w:ascii="宋体" w:hAnsi="宋体"/>
          <w:color w:val="FF0000"/>
        </w:rPr>
      </w:pPr>
      <w:r>
        <w:rPr>
          <w:rFonts w:hint="eastAsia" w:ascii="宋体" w:hAnsi="宋体"/>
          <w:b/>
          <w:bCs w:val="0"/>
        </w:rPr>
        <w:t>起草(草案、论证)阶段：</w:t>
      </w:r>
      <w:r>
        <w:rPr>
          <w:rFonts w:hint="eastAsia" w:ascii="宋体" w:hAnsi="宋体"/>
          <w:color w:val="auto"/>
        </w:rPr>
        <w:t>202</w:t>
      </w:r>
      <w:r>
        <w:rPr>
          <w:rFonts w:hint="eastAsia" w:ascii="宋体" w:hAnsi="宋体"/>
          <w:color w:val="auto"/>
          <w:lang w:val="en-US" w:eastAsia="zh-CN"/>
        </w:rPr>
        <w:t>5</w:t>
      </w:r>
      <w:r>
        <w:rPr>
          <w:rFonts w:hint="eastAsia" w:ascii="宋体" w:hAnsi="宋体"/>
          <w:color w:val="auto"/>
        </w:rPr>
        <w:t>.2牵头单位——芜湖影星巨幕有限公司与相关单位正式成立了“电影放映银幕架系统”起草工作组，确定工作方案，起草工作组在工作过程中广泛收集、分析国内外相关技术文献和资料，结合电影放映银幕架系统的应用经验，对其进行总结和归纳。</w:t>
      </w:r>
    </w:p>
    <w:p w14:paraId="6F01A40C">
      <w:pPr>
        <w:spacing w:line="360" w:lineRule="exact"/>
        <w:ind w:firstLine="438" w:firstLineChars="200"/>
        <w:rPr>
          <w:rFonts w:ascii="宋体" w:hAnsi="宋体"/>
          <w:color w:val="auto"/>
        </w:rPr>
      </w:pPr>
      <w:r>
        <w:rPr>
          <w:rFonts w:hint="eastAsia" w:ascii="宋体" w:hAnsi="宋体"/>
          <w:color w:val="auto"/>
        </w:rPr>
        <w:t>标委会于202</w:t>
      </w:r>
      <w:r>
        <w:rPr>
          <w:rFonts w:hint="eastAsia" w:ascii="宋体" w:hAnsi="宋体"/>
          <w:color w:val="auto"/>
          <w:lang w:val="en-US" w:eastAsia="zh-CN"/>
        </w:rPr>
        <w:t>5</w:t>
      </w:r>
      <w:r>
        <w:rPr>
          <w:rFonts w:hint="eastAsia" w:ascii="宋体" w:hAnsi="宋体"/>
          <w:color w:val="auto"/>
        </w:rPr>
        <w:t>.</w:t>
      </w:r>
      <w:r>
        <w:rPr>
          <w:rFonts w:hint="eastAsia" w:ascii="宋体" w:hAnsi="宋体"/>
          <w:color w:val="auto"/>
          <w:lang w:val="en-US" w:eastAsia="zh-CN"/>
        </w:rPr>
        <w:t>5</w:t>
      </w:r>
      <w:r>
        <w:rPr>
          <w:rFonts w:hint="eastAsia" w:ascii="宋体" w:hAnsi="宋体"/>
          <w:color w:val="auto"/>
        </w:rPr>
        <w:t>.</w:t>
      </w:r>
      <w:r>
        <w:rPr>
          <w:rFonts w:hint="eastAsia" w:ascii="宋体" w:hAnsi="宋体"/>
          <w:color w:val="auto"/>
          <w:lang w:val="en-US" w:eastAsia="zh-CN"/>
        </w:rPr>
        <w:t>11</w:t>
      </w:r>
      <w:r>
        <w:rPr>
          <w:rFonts w:hint="eastAsia" w:ascii="宋体" w:hAnsi="宋体"/>
          <w:color w:val="auto"/>
        </w:rPr>
        <w:t>在</w:t>
      </w:r>
      <w:r>
        <w:rPr>
          <w:rFonts w:hint="eastAsia" w:ascii="宋体" w:hAnsi="宋体"/>
          <w:color w:val="auto"/>
          <w:lang w:val="en-US" w:eastAsia="zh-CN"/>
        </w:rPr>
        <w:t>福建南平</w:t>
      </w:r>
      <w:r>
        <w:rPr>
          <w:rFonts w:hint="eastAsia" w:ascii="宋体" w:hAnsi="宋体"/>
          <w:color w:val="auto"/>
        </w:rPr>
        <w:t>组织召开了该项标准的工作组会议暨研讨会，与会专家对标准草案稿进行了讨论</w:t>
      </w:r>
      <w:r>
        <w:rPr>
          <w:rFonts w:hint="eastAsia" w:ascii="宋体" w:hAnsi="宋体"/>
          <w:color w:val="auto"/>
          <w:lang w:eastAsia="zh-CN"/>
        </w:rPr>
        <w:t>。</w:t>
      </w:r>
      <w:r>
        <w:rPr>
          <w:rFonts w:hint="eastAsia" w:ascii="宋体" w:hAnsi="宋体"/>
          <w:color w:val="auto"/>
        </w:rPr>
        <w:t>会后</w:t>
      </w:r>
      <w:r>
        <w:rPr>
          <w:rFonts w:hint="eastAsia" w:ascii="宋体" w:hAnsi="宋体"/>
          <w:color w:val="auto"/>
          <w:lang w:val="en-US" w:eastAsia="zh-CN"/>
        </w:rPr>
        <w:t>牵头单位由于自身原因主动退出该标准的修订，经标委会协调由</w:t>
      </w:r>
      <w:r>
        <w:rPr>
          <w:rFonts w:hint="eastAsia" w:ascii="宋体" w:hAnsi="宋体"/>
          <w:color w:val="auto"/>
        </w:rPr>
        <w:t>安徽影动巨星银幕有限公司</w:t>
      </w:r>
      <w:r>
        <w:rPr>
          <w:rFonts w:hint="eastAsia" w:ascii="宋体" w:hAnsi="宋体"/>
          <w:color w:val="auto"/>
          <w:lang w:val="en-US" w:eastAsia="zh-CN"/>
        </w:rPr>
        <w:t>作为新的牵头单位组织</w:t>
      </w:r>
      <w:r>
        <w:rPr>
          <w:rFonts w:hint="eastAsia" w:ascii="宋体" w:hAnsi="宋体"/>
          <w:color w:val="auto"/>
        </w:rPr>
        <w:t>对草案稿进行修改、整理和完善后，于202</w:t>
      </w:r>
      <w:r>
        <w:rPr>
          <w:rFonts w:hint="eastAsia" w:ascii="宋体" w:hAnsi="宋体"/>
          <w:color w:val="auto"/>
          <w:lang w:val="en-US" w:eastAsia="zh-CN"/>
        </w:rPr>
        <w:t>5</w:t>
      </w:r>
      <w:r>
        <w:rPr>
          <w:rFonts w:hint="eastAsia" w:ascii="宋体" w:hAnsi="宋体"/>
          <w:color w:val="auto"/>
        </w:rPr>
        <w:t>.</w:t>
      </w:r>
      <w:r>
        <w:rPr>
          <w:rFonts w:hint="eastAsia" w:ascii="宋体" w:hAnsi="宋体"/>
          <w:color w:val="auto"/>
          <w:lang w:val="en-US" w:eastAsia="zh-CN"/>
        </w:rPr>
        <w:t>6</w:t>
      </w:r>
      <w:r>
        <w:rPr>
          <w:rFonts w:hint="eastAsia" w:ascii="宋体" w:hAnsi="宋体"/>
          <w:color w:val="auto"/>
        </w:rPr>
        <w:t>.</w:t>
      </w:r>
      <w:r>
        <w:rPr>
          <w:rFonts w:hint="eastAsia" w:ascii="宋体" w:hAnsi="宋体"/>
          <w:color w:val="auto"/>
          <w:lang w:val="en-US" w:eastAsia="zh-CN"/>
        </w:rPr>
        <w:t>30</w:t>
      </w:r>
      <w:r>
        <w:rPr>
          <w:rFonts w:hint="eastAsia" w:ascii="宋体" w:hAnsi="宋体"/>
          <w:color w:val="auto"/>
        </w:rPr>
        <w:t>形成标准征求意见稿及编制说明。</w:t>
      </w:r>
    </w:p>
    <w:p w14:paraId="36720CDF">
      <w:pPr>
        <w:spacing w:line="360" w:lineRule="exact"/>
        <w:ind w:firstLine="438" w:firstLineChars="200"/>
        <w:rPr>
          <w:rFonts w:hint="eastAsia" w:ascii="宋体" w:hAnsi="宋体"/>
          <w:color w:val="FF0000"/>
        </w:rPr>
      </w:pPr>
      <w:r>
        <w:rPr>
          <w:rFonts w:hint="eastAsia" w:ascii="宋体" w:hAnsi="宋体"/>
          <w:b/>
          <w:bCs w:val="0"/>
        </w:rPr>
        <w:t>征求意见阶段：</w:t>
      </w:r>
      <w:r>
        <w:rPr>
          <w:rFonts w:hint="eastAsia" w:ascii="宋体" w:hAnsi="宋体"/>
          <w:color w:val="auto"/>
        </w:rPr>
        <w:t>经工作组组长许曙波审核，标委会同意后定于202</w:t>
      </w:r>
      <w:r>
        <w:rPr>
          <w:rFonts w:hint="eastAsia" w:ascii="宋体" w:hAnsi="宋体"/>
          <w:color w:val="auto"/>
          <w:lang w:val="en-US" w:eastAsia="zh-CN"/>
        </w:rPr>
        <w:t>5</w:t>
      </w:r>
      <w:r>
        <w:rPr>
          <w:rFonts w:hint="eastAsia" w:ascii="宋体" w:hAnsi="宋体"/>
          <w:color w:val="auto"/>
        </w:rPr>
        <w:t>.</w:t>
      </w:r>
      <w:r>
        <w:rPr>
          <w:rFonts w:hint="eastAsia" w:ascii="宋体" w:hAnsi="宋体"/>
          <w:color w:val="auto"/>
          <w:lang w:val="en-US" w:eastAsia="zh-CN"/>
        </w:rPr>
        <w:t>7</w:t>
      </w:r>
      <w:r>
        <w:rPr>
          <w:rFonts w:hint="eastAsia" w:ascii="宋体" w:hAnsi="宋体"/>
          <w:color w:val="auto"/>
        </w:rPr>
        <w:t>.</w:t>
      </w:r>
      <w:r>
        <w:rPr>
          <w:rFonts w:hint="eastAsia" w:ascii="宋体" w:hAnsi="宋体"/>
          <w:color w:val="auto"/>
          <w:lang w:val="en-US" w:eastAsia="zh-CN"/>
        </w:rPr>
        <w:t>2</w:t>
      </w:r>
      <w:r>
        <w:rPr>
          <w:rFonts w:hint="eastAsia" w:ascii="宋体" w:hAnsi="宋体"/>
          <w:color w:val="auto"/>
        </w:rPr>
        <w:t>～202</w:t>
      </w:r>
      <w:r>
        <w:rPr>
          <w:rFonts w:hint="eastAsia" w:ascii="宋体" w:hAnsi="宋体"/>
          <w:color w:val="auto"/>
          <w:lang w:val="en-US" w:eastAsia="zh-CN"/>
        </w:rPr>
        <w:t>5</w:t>
      </w:r>
      <w:r>
        <w:rPr>
          <w:rFonts w:hint="eastAsia" w:ascii="宋体" w:hAnsi="宋体"/>
          <w:color w:val="auto"/>
        </w:rPr>
        <w:t>.9.</w:t>
      </w:r>
      <w:r>
        <w:rPr>
          <w:rFonts w:hint="eastAsia" w:ascii="宋体" w:hAnsi="宋体"/>
          <w:color w:val="auto"/>
          <w:lang w:val="en-US" w:eastAsia="zh-CN"/>
        </w:rPr>
        <w:t>5</w:t>
      </w:r>
      <w:r>
        <w:rPr>
          <w:rFonts w:hint="eastAsia" w:ascii="宋体" w:hAnsi="宋体"/>
          <w:color w:val="auto"/>
        </w:rPr>
        <w:t>为征求意见时间。202</w:t>
      </w:r>
      <w:r>
        <w:rPr>
          <w:rFonts w:hint="eastAsia" w:ascii="宋体" w:hAnsi="宋体"/>
          <w:color w:val="auto"/>
          <w:lang w:val="en-US" w:eastAsia="zh-CN"/>
        </w:rPr>
        <w:t>5</w:t>
      </w:r>
      <w:r>
        <w:rPr>
          <w:rFonts w:hint="eastAsia" w:ascii="宋体" w:hAnsi="宋体"/>
          <w:color w:val="auto"/>
        </w:rPr>
        <w:t>.</w:t>
      </w:r>
      <w:r>
        <w:rPr>
          <w:rFonts w:hint="eastAsia" w:ascii="宋体" w:hAnsi="宋体"/>
          <w:color w:val="auto"/>
          <w:lang w:val="en-US" w:eastAsia="zh-CN"/>
        </w:rPr>
        <w:t>7</w:t>
      </w:r>
      <w:r>
        <w:rPr>
          <w:rFonts w:hint="eastAsia" w:ascii="宋体" w:hAnsi="宋体"/>
          <w:color w:val="auto"/>
        </w:rPr>
        <w:t>.</w:t>
      </w:r>
      <w:r>
        <w:rPr>
          <w:rFonts w:hint="eastAsia" w:ascii="宋体" w:hAnsi="宋体"/>
          <w:color w:val="auto"/>
          <w:lang w:val="en-US" w:eastAsia="zh-CN"/>
        </w:rPr>
        <w:t>2</w:t>
      </w:r>
      <w:r>
        <w:rPr>
          <w:rFonts w:hint="eastAsia" w:ascii="宋体" w:hAnsi="宋体"/>
          <w:color w:val="auto"/>
        </w:rPr>
        <w:t>向全体标委会委员和相关单位发出标准“征求意见稿”及编制说明，并同期在网站(http://www.cavm.cn/电影电教标委会)上公布，广泛征求意见，征求意见截止日期为202</w:t>
      </w:r>
      <w:r>
        <w:rPr>
          <w:rFonts w:hint="eastAsia" w:ascii="宋体" w:hAnsi="宋体"/>
          <w:color w:val="auto"/>
          <w:lang w:val="en-US" w:eastAsia="zh-CN"/>
        </w:rPr>
        <w:t>5</w:t>
      </w:r>
      <w:r>
        <w:rPr>
          <w:rFonts w:hint="eastAsia" w:ascii="宋体" w:hAnsi="宋体"/>
          <w:color w:val="auto"/>
        </w:rPr>
        <w:t>.9.</w:t>
      </w:r>
      <w:r>
        <w:rPr>
          <w:rFonts w:hint="eastAsia" w:ascii="宋体" w:hAnsi="宋体"/>
          <w:color w:val="auto"/>
          <w:lang w:val="en-US" w:eastAsia="zh-CN"/>
        </w:rPr>
        <w:t>5</w:t>
      </w:r>
      <w:r>
        <w:rPr>
          <w:rFonts w:hint="eastAsia" w:ascii="宋体" w:hAnsi="宋体"/>
          <w:color w:val="auto"/>
        </w:rPr>
        <w:t>。</w:t>
      </w:r>
    </w:p>
    <w:p w14:paraId="22B5F543">
      <w:pPr>
        <w:spacing w:line="360" w:lineRule="exact"/>
        <w:rPr>
          <w:rFonts w:ascii="黑体" w:hAnsi="黑体" w:eastAsia="黑体"/>
        </w:rPr>
      </w:pPr>
      <w:r>
        <w:rPr>
          <w:rFonts w:hint="eastAsia" w:ascii="黑体" w:hAnsi="黑体" w:eastAsia="黑体"/>
        </w:rPr>
        <w:t>3  主要参加单位和工作组成员及其所做的工作等</w:t>
      </w:r>
    </w:p>
    <w:p w14:paraId="62C5C6BE">
      <w:pPr>
        <w:spacing w:line="360" w:lineRule="exact"/>
        <w:ind w:firstLine="438" w:firstLineChars="200"/>
        <w:rPr>
          <w:rFonts w:ascii="宋体" w:hAnsi="宋体"/>
        </w:rPr>
      </w:pPr>
      <w:r>
        <w:rPr>
          <w:rFonts w:hint="eastAsia" w:ascii="宋体" w:hAnsi="宋体"/>
        </w:rPr>
        <w:t>本标准由安徽影动巨星银幕有限公司、菲涅尔显示科技(张家港)有限公司、泉州知悉企业管理咨询有限公司、泉州润物科技有限公司、张家港市万事达电教科技有限公司、秦皇岛昌隆银幕有限公司、无锡市冬慧影视器材有限公司、中科宝溢视觉科技(江苏)有限公司、秦皇岛视听机械研究所有限公司、秦皇岛美视达视听检测技术有限公司负责起草。</w:t>
      </w:r>
    </w:p>
    <w:p w14:paraId="38E23C46">
      <w:pPr>
        <w:spacing w:line="360" w:lineRule="exact"/>
        <w:ind w:firstLine="438" w:firstLineChars="200"/>
        <w:rPr>
          <w:rFonts w:ascii="宋体" w:hAnsi="宋体"/>
        </w:rPr>
      </w:pPr>
      <w:r>
        <w:rPr>
          <w:rFonts w:hint="eastAsia" w:ascii="宋体" w:hAnsi="宋体"/>
        </w:rPr>
        <w:t>主要成员：许曙波、刘永进、张华、刘太龙、韩东、邓荣武。</w:t>
      </w:r>
    </w:p>
    <w:p w14:paraId="293E16CB">
      <w:pPr>
        <w:spacing w:line="360" w:lineRule="exact"/>
        <w:ind w:firstLine="438" w:firstLineChars="200"/>
        <w:rPr>
          <w:rFonts w:ascii="宋体" w:hAnsi="宋体"/>
        </w:rPr>
      </w:pPr>
      <w:r>
        <w:rPr>
          <w:rFonts w:hint="eastAsia" w:ascii="宋体" w:hAnsi="宋体"/>
        </w:rPr>
        <w:t>所做工作：许曙波任工作组组长，主持全面协调工作，负责本标准的编写，邓荣武协助执笔。刘永进、张华、刘太龙、韩东负责对国内外立体电影反映软幕技术与生产的现状与发展进行全面调研，同时广泛收集和检索国内外</w:t>
      </w:r>
      <w:r>
        <w:rPr>
          <w:rFonts w:hint="eastAsia" w:ascii="宋体" w:hAnsi="宋体"/>
          <w:szCs w:val="21"/>
        </w:rPr>
        <w:t>幕架系统</w:t>
      </w:r>
      <w:r>
        <w:rPr>
          <w:rFonts w:hint="eastAsia" w:ascii="宋体" w:hAnsi="宋体"/>
        </w:rPr>
        <w:t>的技术和生产资料，进行研究分析、资料查证等工作。</w:t>
      </w:r>
    </w:p>
    <w:p w14:paraId="7A8CC0B6">
      <w:pPr>
        <w:spacing w:line="360" w:lineRule="exact"/>
        <w:rPr>
          <w:rFonts w:ascii="黑体" w:hAnsi="黑体" w:eastAsia="黑体"/>
        </w:rPr>
      </w:pPr>
      <w:r>
        <w:rPr>
          <w:rFonts w:hint="eastAsia" w:ascii="黑体" w:hAnsi="黑体" w:eastAsia="黑体"/>
        </w:rPr>
        <w:t>二、标准编制原则和主要内容</w:t>
      </w:r>
    </w:p>
    <w:p w14:paraId="0AC63543">
      <w:pPr>
        <w:spacing w:line="360" w:lineRule="exact"/>
        <w:rPr>
          <w:rFonts w:ascii="黑体" w:hAnsi="黑体" w:eastAsia="黑体"/>
        </w:rPr>
      </w:pPr>
      <w:r>
        <w:rPr>
          <w:rFonts w:hint="eastAsia" w:ascii="黑体" w:hAnsi="黑体" w:eastAsia="黑体"/>
        </w:rPr>
        <w:t>1  标准编制原则</w:t>
      </w:r>
    </w:p>
    <w:p w14:paraId="019D7491">
      <w:pPr>
        <w:spacing w:line="360" w:lineRule="exact"/>
        <w:ind w:firstLine="438" w:firstLineChars="200"/>
        <w:rPr>
          <w:rFonts w:ascii="宋体" w:hAnsi="宋体"/>
        </w:rPr>
      </w:pPr>
      <w:r>
        <w:rPr>
          <w:rFonts w:hint="eastAsia" w:ascii="宋体" w:hAnsi="宋体"/>
        </w:rPr>
        <w:t>本标准的修订符合产业发展的原则，本着先进性、科学性、合理性和可操作性的原则以及标准的协调性、适用性、一致性和规范性原则来进行本标准的修订工作。本标准起草过程中，主要按照GB/T 1.1-2020《标准化工作导则  第1部分：标准化文件的结构和起草规则”》和GB/T 20001.10-2014《标准编写规则  第10部分：产品标准》进行编写。</w:t>
      </w:r>
    </w:p>
    <w:p w14:paraId="05F76CF4">
      <w:pPr>
        <w:spacing w:line="360" w:lineRule="exact"/>
        <w:rPr>
          <w:rFonts w:ascii="黑体" w:hAnsi="黑体" w:eastAsia="黑体"/>
        </w:rPr>
      </w:pPr>
      <w:r>
        <w:rPr>
          <w:rFonts w:hint="eastAsia" w:ascii="黑体" w:hAnsi="黑体" w:eastAsia="黑体"/>
        </w:rPr>
        <w:t>2  标准主要内容</w:t>
      </w:r>
    </w:p>
    <w:p w14:paraId="27E2A887">
      <w:pPr>
        <w:spacing w:line="360" w:lineRule="exact"/>
        <w:ind w:firstLine="438" w:firstLineChars="200"/>
        <w:rPr>
          <w:rFonts w:hint="eastAsia" w:ascii="宋体" w:hAnsi="宋体"/>
        </w:rPr>
      </w:pPr>
      <w:r>
        <w:rPr>
          <w:rFonts w:hint="eastAsia" w:ascii="宋体" w:hAnsi="宋体"/>
        </w:rPr>
        <w:t>本文件界定了电影放映银幕架系统的术语和定义及基本结构，规定了技术要求，描述了相</w:t>
      </w:r>
    </w:p>
    <w:p w14:paraId="24B4835F">
      <w:pPr>
        <w:spacing w:line="360" w:lineRule="exact"/>
        <w:ind w:firstLine="438" w:firstLineChars="200"/>
        <w:rPr>
          <w:rFonts w:hint="eastAsia" w:ascii="宋体" w:hAnsi="宋体"/>
        </w:rPr>
      </w:pPr>
    </w:p>
    <w:p w14:paraId="039A587F">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rPr>
      </w:pPr>
      <w:r>
        <w:rPr>
          <w:rFonts w:hint="eastAsia" w:ascii="宋体" w:hAnsi="宋体"/>
        </w:rPr>
        <w:t>应的试验方法、规定了验收规则以及标志、包装、运输和贮存。</w:t>
      </w:r>
    </w:p>
    <w:p w14:paraId="691AF94D">
      <w:pPr>
        <w:spacing w:line="360" w:lineRule="exact"/>
        <w:ind w:firstLine="438" w:firstLineChars="200"/>
      </w:pPr>
      <w:r>
        <w:rPr>
          <w:rFonts w:hint="eastAsia" w:ascii="宋体" w:hAnsi="宋体"/>
        </w:rPr>
        <w:t>本文件适用于电影放映用固定安装的银幕架系统的制造</w:t>
      </w:r>
      <w:r>
        <w:rPr>
          <w:rFonts w:hint="eastAsia"/>
        </w:rPr>
        <w:t>。</w:t>
      </w:r>
    </w:p>
    <w:p w14:paraId="211A857E">
      <w:pPr>
        <w:spacing w:line="360" w:lineRule="exact"/>
        <w:rPr>
          <w:rFonts w:ascii="黑体" w:hAnsi="黑体" w:eastAsia="黑体"/>
        </w:rPr>
      </w:pPr>
      <w:r>
        <w:rPr>
          <w:rFonts w:hint="eastAsia" w:ascii="黑体" w:hAnsi="黑体" w:eastAsia="黑体"/>
        </w:rPr>
        <w:t>3  主要技术差异</w:t>
      </w:r>
    </w:p>
    <w:p w14:paraId="52BCB43A">
      <w:pPr>
        <w:ind w:firstLine="438" w:firstLineChars="200"/>
        <w:rPr>
          <w:rFonts w:ascii="宋体" w:hAnsi="宋体"/>
          <w:color w:val="auto"/>
        </w:rPr>
      </w:pPr>
      <w:r>
        <w:rPr>
          <w:rFonts w:hint="eastAsia" w:ascii="宋体" w:hAnsi="宋体"/>
          <w:color w:val="auto"/>
        </w:rPr>
        <w:t>本标准与JB/T 11849-2018、</w:t>
      </w:r>
      <w:r>
        <w:rPr>
          <w:rFonts w:hint="eastAsia" w:ascii="宋体" w:hAnsi="宋体"/>
          <w:color w:val="auto"/>
          <w:szCs w:val="21"/>
        </w:rPr>
        <w:t>JB/T 14158-2021相比，除编辑性修改外，标准名称由</w:t>
      </w:r>
      <w:r>
        <w:rPr>
          <w:rFonts w:hint="eastAsia" w:ascii="宋体" w:hAnsi="宋体"/>
          <w:color w:val="auto"/>
        </w:rPr>
        <w:t>《影院用银幕架系统》和《立体电影激光放映银幕架系统》合并为《影院用银幕架系统》，更改了“范围”内容、提高了水平度、铅锤度和对角线误差、提高了限位装置的停位误差、提高了黑框铅锤度、水平度及对角线误差、提高了噪声的要求、更改了验收规则。</w:t>
      </w:r>
    </w:p>
    <w:p w14:paraId="1A42D9D5">
      <w:pPr>
        <w:rPr>
          <w:rFonts w:ascii="黑体" w:hAnsi="黑体" w:eastAsia="黑体"/>
        </w:rPr>
      </w:pPr>
      <w:r>
        <w:rPr>
          <w:rFonts w:hint="eastAsia" w:ascii="黑体" w:hAnsi="黑体" w:eastAsia="黑体"/>
          <w:b w:val="0"/>
          <w:bCs/>
        </w:rPr>
        <w:t>4  解决的主要</w:t>
      </w:r>
      <w:r>
        <w:rPr>
          <w:rFonts w:hint="eastAsia" w:ascii="黑体" w:hAnsi="黑体" w:eastAsia="黑体"/>
        </w:rPr>
        <w:t>问题</w:t>
      </w:r>
    </w:p>
    <w:p w14:paraId="036E2B53">
      <w:pPr>
        <w:autoSpaceDE w:val="0"/>
        <w:spacing w:line="360" w:lineRule="exact"/>
        <w:ind w:firstLine="438" w:firstLineChars="200"/>
        <w:rPr>
          <w:rFonts w:hint="eastAsia" w:ascii="宋体" w:hAnsi="宋体" w:eastAsia="宋体"/>
          <w:color w:val="auto"/>
          <w:lang w:eastAsia="zh-CN"/>
        </w:rPr>
      </w:pPr>
      <w:r>
        <w:rPr>
          <w:rFonts w:hint="eastAsia" w:ascii="宋体" w:hAnsi="宋体"/>
          <w:color w:val="auto"/>
        </w:rPr>
        <w:t>随着银幕行业的蓬勃发展、电影放映技术的更新迭代，JB/T 11849-2018、</w:t>
      </w:r>
      <w:r>
        <w:rPr>
          <w:rFonts w:hint="eastAsia" w:ascii="宋体" w:hAnsi="宋体"/>
          <w:color w:val="auto"/>
          <w:szCs w:val="21"/>
        </w:rPr>
        <w:t>JB/T 14158-2021两项标准经过近几年的实施，促进了影院用银幕架系统的快速发进步，促进了技术及工艺的不断创新，影院用银幕架系统技术要求得以提高足以满足影院播放各式电影的要求。</w:t>
      </w:r>
      <w:r>
        <w:rPr>
          <w:rFonts w:hint="eastAsia" w:ascii="宋体" w:hAnsi="宋体"/>
          <w:color w:val="auto"/>
        </w:rPr>
        <w:t>为了进一步提升产品质量和档次、规范市场、需要提高标准技术水平、统一标准故整合修订该两项标准</w:t>
      </w:r>
      <w:r>
        <w:rPr>
          <w:rFonts w:hint="eastAsia" w:ascii="宋体" w:hAnsi="宋体"/>
          <w:color w:val="auto"/>
          <w:lang w:eastAsia="zh-CN"/>
        </w:rPr>
        <w:t>。</w:t>
      </w:r>
    </w:p>
    <w:p w14:paraId="1E402FBF">
      <w:pPr>
        <w:autoSpaceDE w:val="0"/>
        <w:spacing w:line="360" w:lineRule="exact"/>
        <w:rPr>
          <w:rFonts w:ascii="黑体" w:hAnsi="黑体" w:eastAsia="黑体"/>
        </w:rPr>
      </w:pPr>
      <w:r>
        <w:rPr>
          <w:rFonts w:hint="eastAsia" w:ascii="黑体" w:hAnsi="黑体" w:eastAsia="黑体"/>
        </w:rPr>
        <w:t>三、主要试验(或验证)情况</w:t>
      </w:r>
    </w:p>
    <w:p w14:paraId="263F38BC">
      <w:pPr>
        <w:autoSpaceDE w:val="0"/>
        <w:spacing w:line="360" w:lineRule="exact"/>
        <w:ind w:firstLine="438" w:firstLineChars="200"/>
        <w:rPr>
          <w:rFonts w:ascii="宋体" w:hAnsi="宋体"/>
        </w:rPr>
      </w:pPr>
      <w:r>
        <w:rPr>
          <w:rFonts w:hint="eastAsia" w:ascii="宋体" w:hAnsi="宋体"/>
        </w:rPr>
        <w:t>此次修订主要更改了几项技术指标要求，使原来两项标准的一些技术指标得到了统一，起草工作组还专门现场测量了院线不同厂家的银幕架系统，针对水平度、铅锤度和对角线误差彩、停位误差黑框垂直度、水平及对角线、噪声指标进行了验证，具体结果见下表。</w:t>
      </w:r>
    </w:p>
    <w:tbl>
      <w:tblPr>
        <w:tblStyle w:val="15"/>
        <w:tblpPr w:leftFromText="180" w:rightFromText="180" w:vertAnchor="text" w:horzAnchor="margin" w:tblpXSpec="center" w:tblpY="62"/>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9"/>
        <w:gridCol w:w="804"/>
        <w:gridCol w:w="745"/>
        <w:gridCol w:w="819"/>
        <w:gridCol w:w="819"/>
        <w:gridCol w:w="819"/>
        <w:gridCol w:w="702"/>
        <w:gridCol w:w="995"/>
        <w:gridCol w:w="1161"/>
        <w:gridCol w:w="990"/>
        <w:gridCol w:w="730"/>
        <w:gridCol w:w="720"/>
      </w:tblGrid>
      <w:tr w14:paraId="248BD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69" w:type="dxa"/>
            <w:vMerge w:val="restart"/>
            <w:tcBorders>
              <w:top w:val="single" w:color="auto" w:sz="4" w:space="0"/>
              <w:left w:val="single" w:color="auto" w:sz="4" w:space="0"/>
              <w:right w:val="single" w:color="auto" w:sz="4" w:space="0"/>
            </w:tcBorders>
            <w:vAlign w:val="center"/>
          </w:tcPr>
          <w:p w14:paraId="34C3C98C">
            <w:pPr>
              <w:autoSpaceDE w:val="0"/>
              <w:spacing w:line="260" w:lineRule="exact"/>
              <w:jc w:val="center"/>
              <w:rPr>
                <w:rFonts w:ascii="宋体" w:hAnsi="宋体"/>
                <w:sz w:val="18"/>
                <w:szCs w:val="18"/>
              </w:rPr>
            </w:pPr>
            <w:r>
              <w:rPr>
                <w:rFonts w:hint="eastAsia" w:ascii="宋体" w:hAnsi="宋体"/>
                <w:sz w:val="18"/>
                <w:szCs w:val="18"/>
              </w:rPr>
              <w:t>序号</w:t>
            </w:r>
          </w:p>
        </w:tc>
        <w:tc>
          <w:tcPr>
            <w:tcW w:w="1549" w:type="dxa"/>
            <w:gridSpan w:val="2"/>
            <w:tcBorders>
              <w:left w:val="single" w:color="auto" w:sz="4" w:space="0"/>
              <w:right w:val="single" w:color="auto" w:sz="4" w:space="0"/>
            </w:tcBorders>
            <w:vAlign w:val="center"/>
          </w:tcPr>
          <w:p w14:paraId="78133E11">
            <w:pPr>
              <w:autoSpaceDE w:val="0"/>
              <w:spacing w:line="260" w:lineRule="exact"/>
              <w:jc w:val="center"/>
              <w:rPr>
                <w:rFonts w:ascii="宋体" w:hAnsi="宋体"/>
                <w:sz w:val="18"/>
                <w:szCs w:val="18"/>
              </w:rPr>
            </w:pPr>
            <w:r>
              <w:rPr>
                <w:rFonts w:hint="eastAsia" w:ascii="宋体" w:hAnsi="宋体"/>
                <w:sz w:val="18"/>
                <w:szCs w:val="18"/>
              </w:rPr>
              <w:t>银幕架</w:t>
            </w:r>
          </w:p>
        </w:tc>
        <w:tc>
          <w:tcPr>
            <w:tcW w:w="819" w:type="dxa"/>
            <w:vMerge w:val="restart"/>
            <w:tcBorders>
              <w:left w:val="single" w:color="auto" w:sz="4" w:space="0"/>
              <w:right w:val="single" w:color="auto" w:sz="4" w:space="0"/>
            </w:tcBorders>
            <w:vAlign w:val="center"/>
          </w:tcPr>
          <w:p w14:paraId="25ABC3E1">
            <w:pPr>
              <w:autoSpaceDE w:val="0"/>
              <w:spacing w:line="260" w:lineRule="exact"/>
              <w:jc w:val="center"/>
              <w:rPr>
                <w:rFonts w:ascii="宋体" w:hAnsi="宋体"/>
                <w:sz w:val="18"/>
                <w:szCs w:val="18"/>
              </w:rPr>
            </w:pPr>
            <w:r>
              <w:rPr>
                <w:rFonts w:hint="eastAsia" w:ascii="宋体" w:hAnsi="宋体"/>
                <w:sz w:val="18"/>
                <w:szCs w:val="18"/>
              </w:rPr>
              <w:t>水平度</w:t>
            </w:r>
          </w:p>
          <w:p w14:paraId="75D00830">
            <w:pPr>
              <w:autoSpaceDE w:val="0"/>
              <w:spacing w:line="260" w:lineRule="exact"/>
              <w:jc w:val="center"/>
              <w:rPr>
                <w:rFonts w:ascii="宋体" w:hAnsi="宋体"/>
                <w:sz w:val="18"/>
                <w:szCs w:val="18"/>
              </w:rPr>
            </w:pPr>
            <w:r>
              <w:rPr>
                <w:rFonts w:hint="eastAsia" w:ascii="宋体" w:hAnsi="宋体"/>
                <w:sz w:val="18"/>
                <w:szCs w:val="18"/>
              </w:rPr>
              <w:t>误差</w:t>
            </w:r>
          </w:p>
        </w:tc>
        <w:tc>
          <w:tcPr>
            <w:tcW w:w="819" w:type="dxa"/>
            <w:vMerge w:val="restart"/>
            <w:tcBorders>
              <w:left w:val="single" w:color="auto" w:sz="4" w:space="0"/>
              <w:right w:val="single" w:color="auto" w:sz="4" w:space="0"/>
            </w:tcBorders>
            <w:vAlign w:val="center"/>
          </w:tcPr>
          <w:p w14:paraId="7D62DE57">
            <w:pPr>
              <w:autoSpaceDE w:val="0"/>
              <w:spacing w:line="260" w:lineRule="exact"/>
              <w:jc w:val="center"/>
              <w:rPr>
                <w:rFonts w:ascii="宋体" w:hAnsi="宋体"/>
                <w:sz w:val="18"/>
                <w:szCs w:val="18"/>
              </w:rPr>
            </w:pPr>
            <w:r>
              <w:rPr>
                <w:rFonts w:hint="eastAsia" w:ascii="宋体" w:hAnsi="宋体"/>
                <w:sz w:val="18"/>
                <w:szCs w:val="18"/>
              </w:rPr>
              <w:t>铅锤</w:t>
            </w:r>
          </w:p>
          <w:p w14:paraId="73A22EE9">
            <w:pPr>
              <w:autoSpaceDE w:val="0"/>
              <w:spacing w:line="260" w:lineRule="exact"/>
              <w:jc w:val="center"/>
              <w:rPr>
                <w:rFonts w:ascii="宋体" w:hAnsi="宋体"/>
                <w:sz w:val="18"/>
                <w:szCs w:val="18"/>
              </w:rPr>
            </w:pPr>
            <w:r>
              <w:rPr>
                <w:rFonts w:hint="eastAsia" w:ascii="宋体" w:hAnsi="宋体"/>
                <w:sz w:val="18"/>
                <w:szCs w:val="18"/>
              </w:rPr>
              <w:t>度误差</w:t>
            </w:r>
          </w:p>
        </w:tc>
        <w:tc>
          <w:tcPr>
            <w:tcW w:w="819" w:type="dxa"/>
            <w:vMerge w:val="restart"/>
            <w:tcBorders>
              <w:left w:val="single" w:color="auto" w:sz="4" w:space="0"/>
              <w:right w:val="single" w:color="auto" w:sz="4" w:space="0"/>
            </w:tcBorders>
            <w:vAlign w:val="center"/>
          </w:tcPr>
          <w:p w14:paraId="3F42B1A4">
            <w:pPr>
              <w:autoSpaceDE w:val="0"/>
              <w:spacing w:line="260" w:lineRule="exact"/>
              <w:jc w:val="center"/>
              <w:rPr>
                <w:rFonts w:ascii="宋体" w:hAnsi="宋体"/>
                <w:sz w:val="18"/>
                <w:szCs w:val="18"/>
              </w:rPr>
            </w:pPr>
            <w:r>
              <w:rPr>
                <w:rFonts w:hint="eastAsia" w:ascii="宋体" w:hAnsi="宋体"/>
                <w:sz w:val="18"/>
                <w:szCs w:val="18"/>
              </w:rPr>
              <w:t>对角线</w:t>
            </w:r>
          </w:p>
          <w:p w14:paraId="05C39F41">
            <w:pPr>
              <w:autoSpaceDE w:val="0"/>
              <w:spacing w:line="260" w:lineRule="exact"/>
              <w:jc w:val="center"/>
              <w:rPr>
                <w:rFonts w:ascii="宋体" w:hAnsi="宋体"/>
                <w:sz w:val="18"/>
                <w:szCs w:val="18"/>
              </w:rPr>
            </w:pPr>
            <w:r>
              <w:rPr>
                <w:rFonts w:hint="eastAsia" w:ascii="宋体" w:hAnsi="宋体"/>
                <w:sz w:val="18"/>
                <w:szCs w:val="18"/>
              </w:rPr>
              <w:t>误差</w:t>
            </w:r>
          </w:p>
        </w:tc>
        <w:tc>
          <w:tcPr>
            <w:tcW w:w="702" w:type="dxa"/>
            <w:vMerge w:val="restart"/>
            <w:tcBorders>
              <w:left w:val="single" w:color="auto" w:sz="4" w:space="0"/>
              <w:right w:val="single" w:color="auto" w:sz="4" w:space="0"/>
            </w:tcBorders>
            <w:vAlign w:val="center"/>
          </w:tcPr>
          <w:p w14:paraId="69434179">
            <w:pPr>
              <w:autoSpaceDE w:val="0"/>
              <w:spacing w:line="260" w:lineRule="exact"/>
              <w:jc w:val="center"/>
              <w:rPr>
                <w:rFonts w:ascii="宋体" w:hAnsi="宋体"/>
                <w:sz w:val="18"/>
                <w:szCs w:val="18"/>
              </w:rPr>
            </w:pPr>
            <w:r>
              <w:rPr>
                <w:rFonts w:hint="eastAsia" w:ascii="宋体" w:hAnsi="宋体"/>
                <w:sz w:val="18"/>
                <w:szCs w:val="18"/>
              </w:rPr>
              <w:t>停位</w:t>
            </w:r>
          </w:p>
          <w:p w14:paraId="7D7EF8E4">
            <w:pPr>
              <w:autoSpaceDE w:val="0"/>
              <w:spacing w:line="260" w:lineRule="exact"/>
              <w:jc w:val="center"/>
              <w:rPr>
                <w:rFonts w:ascii="宋体" w:hAnsi="宋体"/>
                <w:sz w:val="18"/>
                <w:szCs w:val="18"/>
              </w:rPr>
            </w:pPr>
            <w:r>
              <w:rPr>
                <w:rFonts w:hint="eastAsia" w:ascii="宋体" w:hAnsi="宋体"/>
                <w:sz w:val="18"/>
                <w:szCs w:val="18"/>
              </w:rPr>
              <w:t>误差</w:t>
            </w:r>
          </w:p>
        </w:tc>
        <w:tc>
          <w:tcPr>
            <w:tcW w:w="995" w:type="dxa"/>
            <w:vMerge w:val="restart"/>
            <w:tcBorders>
              <w:left w:val="single" w:color="auto" w:sz="4" w:space="0"/>
              <w:right w:val="single" w:color="auto" w:sz="4" w:space="0"/>
            </w:tcBorders>
            <w:vAlign w:val="center"/>
          </w:tcPr>
          <w:p w14:paraId="4F1447E4">
            <w:pPr>
              <w:autoSpaceDE w:val="0"/>
              <w:spacing w:line="260" w:lineRule="exact"/>
              <w:jc w:val="center"/>
              <w:rPr>
                <w:rFonts w:ascii="宋体" w:hAnsi="宋体"/>
                <w:sz w:val="18"/>
                <w:szCs w:val="18"/>
              </w:rPr>
            </w:pPr>
            <w:r>
              <w:rPr>
                <w:rFonts w:hint="eastAsia" w:ascii="宋体" w:hAnsi="宋体"/>
                <w:sz w:val="18"/>
                <w:szCs w:val="18"/>
              </w:rPr>
              <w:t>黑框铅锤</w:t>
            </w:r>
          </w:p>
          <w:p w14:paraId="23D25AAD">
            <w:pPr>
              <w:autoSpaceDE w:val="0"/>
              <w:spacing w:line="260" w:lineRule="exact"/>
              <w:jc w:val="center"/>
              <w:rPr>
                <w:rFonts w:ascii="宋体" w:hAnsi="宋体"/>
                <w:sz w:val="18"/>
                <w:szCs w:val="18"/>
              </w:rPr>
            </w:pPr>
            <w:r>
              <w:rPr>
                <w:rFonts w:hint="eastAsia" w:ascii="宋体" w:hAnsi="宋体"/>
                <w:sz w:val="18"/>
                <w:szCs w:val="18"/>
              </w:rPr>
              <w:t>度误差</w:t>
            </w:r>
          </w:p>
        </w:tc>
        <w:tc>
          <w:tcPr>
            <w:tcW w:w="1161" w:type="dxa"/>
            <w:vMerge w:val="restart"/>
            <w:tcBorders>
              <w:left w:val="single" w:color="auto" w:sz="4" w:space="0"/>
              <w:right w:val="single" w:color="auto" w:sz="4" w:space="0"/>
            </w:tcBorders>
            <w:vAlign w:val="center"/>
          </w:tcPr>
          <w:p w14:paraId="086C7918">
            <w:pPr>
              <w:autoSpaceDE w:val="0"/>
              <w:spacing w:line="260" w:lineRule="exact"/>
              <w:jc w:val="center"/>
              <w:rPr>
                <w:rFonts w:ascii="宋体" w:hAnsi="宋体"/>
                <w:spacing w:val="-6"/>
                <w:sz w:val="18"/>
                <w:szCs w:val="18"/>
              </w:rPr>
            </w:pPr>
            <w:r>
              <w:rPr>
                <w:rFonts w:hint="eastAsia" w:ascii="宋体" w:hAnsi="宋体"/>
                <w:spacing w:val="-6"/>
                <w:sz w:val="18"/>
                <w:szCs w:val="18"/>
              </w:rPr>
              <w:t>黑框</w:t>
            </w:r>
          </w:p>
          <w:p w14:paraId="74787311">
            <w:pPr>
              <w:autoSpaceDE w:val="0"/>
              <w:spacing w:line="260" w:lineRule="exact"/>
              <w:jc w:val="center"/>
              <w:rPr>
                <w:rFonts w:ascii="宋体" w:hAnsi="宋体"/>
                <w:spacing w:val="-6"/>
                <w:sz w:val="18"/>
                <w:szCs w:val="18"/>
              </w:rPr>
            </w:pPr>
            <w:r>
              <w:rPr>
                <w:rFonts w:hint="eastAsia" w:ascii="宋体" w:hAnsi="宋体"/>
                <w:spacing w:val="-6"/>
                <w:sz w:val="18"/>
                <w:szCs w:val="18"/>
              </w:rPr>
              <w:t>水平度误差</w:t>
            </w:r>
          </w:p>
        </w:tc>
        <w:tc>
          <w:tcPr>
            <w:tcW w:w="990" w:type="dxa"/>
            <w:vMerge w:val="restart"/>
            <w:tcBorders>
              <w:left w:val="single" w:color="auto" w:sz="4" w:space="0"/>
              <w:right w:val="single" w:color="auto" w:sz="4" w:space="0"/>
            </w:tcBorders>
            <w:vAlign w:val="center"/>
          </w:tcPr>
          <w:p w14:paraId="7EE9A10D">
            <w:pPr>
              <w:autoSpaceDE w:val="0"/>
              <w:spacing w:line="260" w:lineRule="exact"/>
              <w:jc w:val="center"/>
              <w:rPr>
                <w:rFonts w:ascii="宋体" w:hAnsi="宋体"/>
                <w:sz w:val="18"/>
                <w:szCs w:val="18"/>
              </w:rPr>
            </w:pPr>
            <w:r>
              <w:rPr>
                <w:rFonts w:hint="eastAsia" w:ascii="宋体" w:hAnsi="宋体"/>
                <w:sz w:val="18"/>
                <w:szCs w:val="18"/>
              </w:rPr>
              <w:t>黑框对角线误差</w:t>
            </w:r>
          </w:p>
        </w:tc>
        <w:tc>
          <w:tcPr>
            <w:tcW w:w="1450" w:type="dxa"/>
            <w:gridSpan w:val="2"/>
            <w:tcBorders>
              <w:left w:val="single" w:color="auto" w:sz="4" w:space="0"/>
              <w:bottom w:val="single" w:color="auto" w:sz="4" w:space="0"/>
              <w:right w:val="single" w:color="auto" w:sz="4" w:space="0"/>
            </w:tcBorders>
            <w:vAlign w:val="center"/>
          </w:tcPr>
          <w:p w14:paraId="129E235C">
            <w:pPr>
              <w:autoSpaceDE w:val="0"/>
              <w:spacing w:line="260" w:lineRule="exact"/>
              <w:jc w:val="center"/>
              <w:rPr>
                <w:rFonts w:hint="eastAsia" w:ascii="宋体" w:hAnsi="宋体"/>
                <w:sz w:val="18"/>
                <w:szCs w:val="18"/>
                <w:lang w:eastAsia="zh-CN"/>
              </w:rPr>
            </w:pPr>
            <w:r>
              <w:rPr>
                <w:rFonts w:hint="eastAsia" w:ascii="宋体" w:hAnsi="宋体"/>
                <w:sz w:val="18"/>
                <w:szCs w:val="18"/>
              </w:rPr>
              <w:t>噪声</w:t>
            </w:r>
            <w:r>
              <w:rPr>
                <w:rFonts w:hint="eastAsia" w:ascii="宋体" w:hAnsi="宋体"/>
                <w:sz w:val="18"/>
                <w:szCs w:val="18"/>
                <w:lang w:val="en-US" w:eastAsia="zh-CN"/>
              </w:rPr>
              <w:t>(</w:t>
            </w:r>
            <w:r>
              <w:rPr>
                <w:rFonts w:hint="eastAsia" w:ascii="宋体" w:hAnsi="宋体"/>
                <w:sz w:val="18"/>
                <w:szCs w:val="18"/>
              </w:rPr>
              <w:t>dB</w:t>
            </w:r>
            <w:r>
              <w:rPr>
                <w:rFonts w:hint="eastAsia" w:ascii="宋体" w:hAnsi="宋体"/>
                <w:sz w:val="18"/>
                <w:szCs w:val="18"/>
                <w:lang w:val="en-US" w:eastAsia="zh-CN"/>
              </w:rPr>
              <w:t>)</w:t>
            </w:r>
          </w:p>
        </w:tc>
      </w:tr>
      <w:tr w14:paraId="38BB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69" w:type="dxa"/>
            <w:vMerge w:val="continue"/>
            <w:tcBorders>
              <w:left w:val="single" w:color="auto" w:sz="4" w:space="0"/>
              <w:bottom w:val="single" w:color="auto" w:sz="4" w:space="0"/>
              <w:right w:val="single" w:color="auto" w:sz="4" w:space="0"/>
            </w:tcBorders>
            <w:vAlign w:val="center"/>
          </w:tcPr>
          <w:p w14:paraId="383B1F08">
            <w:pPr>
              <w:widowControl/>
              <w:jc w:val="left"/>
              <w:rPr>
                <w:rFonts w:ascii="宋体" w:hAnsi="宋体"/>
                <w:sz w:val="18"/>
                <w:szCs w:val="18"/>
              </w:rPr>
            </w:pPr>
          </w:p>
        </w:tc>
        <w:tc>
          <w:tcPr>
            <w:tcW w:w="804" w:type="dxa"/>
            <w:tcBorders>
              <w:left w:val="single" w:color="auto" w:sz="4" w:space="0"/>
              <w:bottom w:val="single" w:color="auto" w:sz="4" w:space="0"/>
              <w:right w:val="single" w:color="auto" w:sz="4" w:space="0"/>
            </w:tcBorders>
            <w:vAlign w:val="center"/>
          </w:tcPr>
          <w:p w14:paraId="57AD6604">
            <w:pPr>
              <w:autoSpaceDE w:val="0"/>
              <w:spacing w:line="260" w:lineRule="exact"/>
              <w:jc w:val="center"/>
              <w:rPr>
                <w:rFonts w:ascii="宋体" w:hAnsi="宋体"/>
                <w:sz w:val="18"/>
                <w:szCs w:val="18"/>
              </w:rPr>
            </w:pPr>
            <w:r>
              <w:rPr>
                <w:rFonts w:hint="eastAsia" w:ascii="宋体" w:hAnsi="宋体"/>
                <w:sz w:val="18"/>
                <w:szCs w:val="18"/>
              </w:rPr>
              <w:t>宽度</w:t>
            </w:r>
          </w:p>
        </w:tc>
        <w:tc>
          <w:tcPr>
            <w:tcW w:w="745" w:type="dxa"/>
            <w:tcBorders>
              <w:left w:val="single" w:color="auto" w:sz="4" w:space="0"/>
              <w:bottom w:val="single" w:color="auto" w:sz="4" w:space="0"/>
              <w:right w:val="single" w:color="auto" w:sz="4" w:space="0"/>
            </w:tcBorders>
            <w:vAlign w:val="center"/>
          </w:tcPr>
          <w:p w14:paraId="186E2BBE">
            <w:pPr>
              <w:autoSpaceDE w:val="0"/>
              <w:spacing w:line="260" w:lineRule="exact"/>
              <w:jc w:val="center"/>
              <w:rPr>
                <w:rFonts w:ascii="宋体" w:hAnsi="宋体"/>
                <w:sz w:val="18"/>
                <w:szCs w:val="18"/>
              </w:rPr>
            </w:pPr>
            <w:r>
              <w:rPr>
                <w:rFonts w:hint="eastAsia" w:ascii="宋体" w:hAnsi="宋体"/>
                <w:sz w:val="18"/>
                <w:szCs w:val="18"/>
              </w:rPr>
              <w:t>高度</w:t>
            </w:r>
          </w:p>
        </w:tc>
        <w:tc>
          <w:tcPr>
            <w:tcW w:w="819" w:type="dxa"/>
            <w:vMerge w:val="continue"/>
            <w:tcBorders>
              <w:left w:val="single" w:color="auto" w:sz="4" w:space="0"/>
              <w:bottom w:val="single" w:color="auto" w:sz="4" w:space="0"/>
              <w:right w:val="single" w:color="auto" w:sz="4" w:space="0"/>
            </w:tcBorders>
            <w:vAlign w:val="center"/>
          </w:tcPr>
          <w:p w14:paraId="7CB30084">
            <w:pPr>
              <w:autoSpaceDE w:val="0"/>
              <w:spacing w:line="260" w:lineRule="exact"/>
              <w:jc w:val="center"/>
              <w:rPr>
                <w:rFonts w:ascii="宋体" w:hAnsi="宋体"/>
                <w:sz w:val="18"/>
                <w:szCs w:val="18"/>
              </w:rPr>
            </w:pPr>
          </w:p>
        </w:tc>
        <w:tc>
          <w:tcPr>
            <w:tcW w:w="819" w:type="dxa"/>
            <w:vMerge w:val="continue"/>
            <w:tcBorders>
              <w:left w:val="single" w:color="auto" w:sz="4" w:space="0"/>
              <w:bottom w:val="single" w:color="auto" w:sz="4" w:space="0"/>
              <w:right w:val="single" w:color="auto" w:sz="4" w:space="0"/>
            </w:tcBorders>
            <w:vAlign w:val="center"/>
          </w:tcPr>
          <w:p w14:paraId="11E841B1">
            <w:pPr>
              <w:autoSpaceDE w:val="0"/>
              <w:spacing w:line="260" w:lineRule="exact"/>
              <w:jc w:val="center"/>
              <w:rPr>
                <w:rFonts w:ascii="宋体" w:hAnsi="宋体"/>
                <w:sz w:val="18"/>
                <w:szCs w:val="18"/>
              </w:rPr>
            </w:pPr>
          </w:p>
        </w:tc>
        <w:tc>
          <w:tcPr>
            <w:tcW w:w="819" w:type="dxa"/>
            <w:vMerge w:val="continue"/>
            <w:tcBorders>
              <w:left w:val="single" w:color="auto" w:sz="4" w:space="0"/>
              <w:bottom w:val="single" w:color="auto" w:sz="4" w:space="0"/>
              <w:right w:val="single" w:color="auto" w:sz="4" w:space="0"/>
            </w:tcBorders>
            <w:vAlign w:val="center"/>
          </w:tcPr>
          <w:p w14:paraId="7F0DB229">
            <w:pPr>
              <w:autoSpaceDE w:val="0"/>
              <w:spacing w:line="260" w:lineRule="exact"/>
              <w:jc w:val="center"/>
              <w:rPr>
                <w:rFonts w:ascii="宋体" w:hAnsi="宋体"/>
                <w:sz w:val="18"/>
                <w:szCs w:val="18"/>
              </w:rPr>
            </w:pPr>
          </w:p>
        </w:tc>
        <w:tc>
          <w:tcPr>
            <w:tcW w:w="702" w:type="dxa"/>
            <w:vMerge w:val="continue"/>
            <w:tcBorders>
              <w:left w:val="single" w:color="auto" w:sz="4" w:space="0"/>
              <w:bottom w:val="single" w:color="auto" w:sz="4" w:space="0"/>
              <w:right w:val="single" w:color="auto" w:sz="4" w:space="0"/>
            </w:tcBorders>
            <w:vAlign w:val="center"/>
          </w:tcPr>
          <w:p w14:paraId="47CF03F3">
            <w:pPr>
              <w:autoSpaceDE w:val="0"/>
              <w:spacing w:line="260" w:lineRule="exact"/>
              <w:jc w:val="center"/>
              <w:rPr>
                <w:rFonts w:ascii="宋体" w:hAnsi="宋体"/>
                <w:sz w:val="18"/>
                <w:szCs w:val="18"/>
              </w:rPr>
            </w:pPr>
          </w:p>
        </w:tc>
        <w:tc>
          <w:tcPr>
            <w:tcW w:w="995" w:type="dxa"/>
            <w:vMerge w:val="continue"/>
            <w:tcBorders>
              <w:left w:val="single" w:color="auto" w:sz="4" w:space="0"/>
              <w:bottom w:val="single" w:color="auto" w:sz="4" w:space="0"/>
              <w:right w:val="single" w:color="auto" w:sz="4" w:space="0"/>
            </w:tcBorders>
            <w:vAlign w:val="center"/>
          </w:tcPr>
          <w:p w14:paraId="14C97406">
            <w:pPr>
              <w:autoSpaceDE w:val="0"/>
              <w:spacing w:line="260" w:lineRule="exact"/>
              <w:jc w:val="center"/>
              <w:rPr>
                <w:rFonts w:ascii="宋体" w:hAnsi="宋体"/>
                <w:sz w:val="18"/>
                <w:szCs w:val="18"/>
              </w:rPr>
            </w:pPr>
          </w:p>
        </w:tc>
        <w:tc>
          <w:tcPr>
            <w:tcW w:w="1161" w:type="dxa"/>
            <w:vMerge w:val="continue"/>
            <w:tcBorders>
              <w:left w:val="single" w:color="auto" w:sz="4" w:space="0"/>
              <w:bottom w:val="single" w:color="auto" w:sz="4" w:space="0"/>
              <w:right w:val="single" w:color="auto" w:sz="4" w:space="0"/>
            </w:tcBorders>
            <w:vAlign w:val="center"/>
          </w:tcPr>
          <w:p w14:paraId="04BAF1BE">
            <w:pPr>
              <w:autoSpaceDE w:val="0"/>
              <w:spacing w:line="260" w:lineRule="exact"/>
              <w:jc w:val="center"/>
              <w:rPr>
                <w:rFonts w:ascii="宋体" w:hAnsi="宋体"/>
                <w:sz w:val="18"/>
                <w:szCs w:val="18"/>
              </w:rPr>
            </w:pPr>
          </w:p>
        </w:tc>
        <w:tc>
          <w:tcPr>
            <w:tcW w:w="990" w:type="dxa"/>
            <w:vMerge w:val="continue"/>
            <w:tcBorders>
              <w:left w:val="single" w:color="auto" w:sz="4" w:space="0"/>
              <w:bottom w:val="single" w:color="auto" w:sz="4" w:space="0"/>
              <w:right w:val="single" w:color="auto" w:sz="4" w:space="0"/>
            </w:tcBorders>
            <w:vAlign w:val="center"/>
          </w:tcPr>
          <w:p w14:paraId="6445C856">
            <w:pPr>
              <w:autoSpaceDE w:val="0"/>
              <w:spacing w:line="260" w:lineRule="exact"/>
              <w:jc w:val="center"/>
              <w:rPr>
                <w:rFonts w:ascii="宋体" w:hAnsi="宋体"/>
                <w:sz w:val="18"/>
                <w:szCs w:val="18"/>
              </w:rPr>
            </w:pPr>
          </w:p>
        </w:tc>
        <w:tc>
          <w:tcPr>
            <w:tcW w:w="730" w:type="dxa"/>
            <w:tcBorders>
              <w:left w:val="single" w:color="auto" w:sz="4" w:space="0"/>
              <w:bottom w:val="single" w:color="auto" w:sz="4" w:space="0"/>
              <w:right w:val="single" w:color="auto" w:sz="4" w:space="0"/>
            </w:tcBorders>
            <w:vAlign w:val="center"/>
          </w:tcPr>
          <w:p w14:paraId="2FD0AC7A">
            <w:pPr>
              <w:autoSpaceDE w:val="0"/>
              <w:spacing w:line="260" w:lineRule="exact"/>
              <w:jc w:val="center"/>
              <w:rPr>
                <w:rFonts w:hint="eastAsia" w:ascii="宋体" w:hAnsi="宋体"/>
                <w:sz w:val="18"/>
                <w:szCs w:val="18"/>
              </w:rPr>
            </w:pPr>
            <w:r>
              <w:rPr>
                <w:rFonts w:hint="eastAsia" w:ascii="宋体" w:hAnsi="宋体"/>
                <w:sz w:val="18"/>
                <w:szCs w:val="18"/>
              </w:rPr>
              <w:t>1</w:t>
            </w:r>
          </w:p>
        </w:tc>
        <w:tc>
          <w:tcPr>
            <w:tcW w:w="720" w:type="dxa"/>
            <w:tcBorders>
              <w:left w:val="single" w:color="auto" w:sz="4" w:space="0"/>
              <w:bottom w:val="single" w:color="auto" w:sz="4" w:space="0"/>
              <w:right w:val="single" w:color="auto" w:sz="4" w:space="0"/>
            </w:tcBorders>
            <w:vAlign w:val="center"/>
          </w:tcPr>
          <w:p w14:paraId="369022F4">
            <w:pPr>
              <w:autoSpaceDE w:val="0"/>
              <w:spacing w:line="260" w:lineRule="exact"/>
              <w:jc w:val="center"/>
              <w:rPr>
                <w:rFonts w:hint="eastAsia" w:ascii="宋体" w:hAnsi="宋体"/>
                <w:sz w:val="18"/>
                <w:szCs w:val="18"/>
              </w:rPr>
            </w:pPr>
            <w:r>
              <w:rPr>
                <w:rFonts w:hint="eastAsia" w:ascii="宋体" w:hAnsi="宋体"/>
                <w:sz w:val="18"/>
                <w:szCs w:val="18"/>
              </w:rPr>
              <w:t>2</w:t>
            </w:r>
          </w:p>
        </w:tc>
      </w:tr>
      <w:tr w14:paraId="35F5F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tcBorders>
              <w:top w:val="single" w:color="auto" w:sz="4" w:space="0"/>
              <w:left w:val="single" w:color="auto" w:sz="4" w:space="0"/>
              <w:bottom w:val="single" w:color="auto" w:sz="4" w:space="0"/>
              <w:right w:val="single" w:color="auto" w:sz="4" w:space="0"/>
            </w:tcBorders>
            <w:vAlign w:val="center"/>
          </w:tcPr>
          <w:p w14:paraId="7A612642">
            <w:pPr>
              <w:autoSpaceDE w:val="0"/>
              <w:spacing w:line="360" w:lineRule="exact"/>
              <w:jc w:val="center"/>
              <w:rPr>
                <w:rFonts w:ascii="宋体" w:hAnsi="宋体"/>
                <w:sz w:val="18"/>
                <w:szCs w:val="18"/>
              </w:rPr>
            </w:pPr>
            <w:r>
              <w:rPr>
                <w:rFonts w:hint="eastAsia" w:ascii="宋体" w:hAnsi="宋体"/>
                <w:sz w:val="18"/>
                <w:szCs w:val="18"/>
              </w:rPr>
              <w:t>1</w:t>
            </w:r>
          </w:p>
        </w:tc>
        <w:tc>
          <w:tcPr>
            <w:tcW w:w="804" w:type="dxa"/>
            <w:tcBorders>
              <w:top w:val="single" w:color="auto" w:sz="4" w:space="0"/>
              <w:left w:val="single" w:color="auto" w:sz="4" w:space="0"/>
              <w:bottom w:val="single" w:color="auto" w:sz="4" w:space="0"/>
              <w:right w:val="single" w:color="auto" w:sz="4" w:space="0"/>
            </w:tcBorders>
          </w:tcPr>
          <w:p w14:paraId="6C108813">
            <w:pPr>
              <w:autoSpaceDE w:val="0"/>
              <w:spacing w:line="360" w:lineRule="exact"/>
              <w:jc w:val="center"/>
              <w:rPr>
                <w:rFonts w:ascii="宋体" w:hAnsi="宋体"/>
                <w:sz w:val="18"/>
                <w:szCs w:val="18"/>
              </w:rPr>
            </w:pPr>
            <w:r>
              <w:rPr>
                <w:rFonts w:hint="eastAsia" w:ascii="宋体" w:hAnsi="宋体"/>
                <w:sz w:val="18"/>
                <w:szCs w:val="18"/>
              </w:rPr>
              <w:t>6000</w:t>
            </w:r>
          </w:p>
        </w:tc>
        <w:tc>
          <w:tcPr>
            <w:tcW w:w="745" w:type="dxa"/>
            <w:tcBorders>
              <w:top w:val="single" w:color="auto" w:sz="4" w:space="0"/>
              <w:left w:val="single" w:color="auto" w:sz="4" w:space="0"/>
              <w:bottom w:val="single" w:color="auto" w:sz="4" w:space="0"/>
              <w:right w:val="single" w:color="auto" w:sz="4" w:space="0"/>
            </w:tcBorders>
          </w:tcPr>
          <w:p w14:paraId="3F280F79">
            <w:pPr>
              <w:autoSpaceDE w:val="0"/>
              <w:spacing w:line="360" w:lineRule="exact"/>
              <w:jc w:val="center"/>
              <w:rPr>
                <w:rFonts w:ascii="宋体" w:hAnsi="宋体"/>
                <w:sz w:val="18"/>
                <w:szCs w:val="18"/>
              </w:rPr>
            </w:pPr>
            <w:r>
              <w:rPr>
                <w:rFonts w:hint="eastAsia" w:ascii="宋体" w:hAnsi="宋体"/>
                <w:sz w:val="18"/>
                <w:szCs w:val="18"/>
              </w:rPr>
              <w:t>3200</w:t>
            </w:r>
          </w:p>
        </w:tc>
        <w:tc>
          <w:tcPr>
            <w:tcW w:w="819" w:type="dxa"/>
            <w:tcBorders>
              <w:top w:val="single" w:color="auto" w:sz="4" w:space="0"/>
              <w:left w:val="single" w:color="auto" w:sz="4" w:space="0"/>
              <w:bottom w:val="single" w:color="auto" w:sz="4" w:space="0"/>
              <w:right w:val="single" w:color="auto" w:sz="4" w:space="0"/>
            </w:tcBorders>
          </w:tcPr>
          <w:p w14:paraId="44AE40F6">
            <w:pPr>
              <w:autoSpaceDE w:val="0"/>
              <w:spacing w:line="360" w:lineRule="exact"/>
              <w:jc w:val="center"/>
              <w:rPr>
                <w:rFonts w:ascii="宋体" w:hAnsi="宋体"/>
                <w:sz w:val="18"/>
                <w:szCs w:val="18"/>
              </w:rPr>
            </w:pPr>
            <w:r>
              <w:rPr>
                <w:rFonts w:hint="eastAsia" w:ascii="宋体" w:hAnsi="宋体"/>
                <w:sz w:val="18"/>
                <w:szCs w:val="18"/>
              </w:rPr>
              <w:t>5</w:t>
            </w:r>
          </w:p>
        </w:tc>
        <w:tc>
          <w:tcPr>
            <w:tcW w:w="819" w:type="dxa"/>
            <w:tcBorders>
              <w:top w:val="single" w:color="auto" w:sz="4" w:space="0"/>
              <w:left w:val="single" w:color="auto" w:sz="4" w:space="0"/>
              <w:bottom w:val="single" w:color="auto" w:sz="4" w:space="0"/>
              <w:right w:val="single" w:color="auto" w:sz="4" w:space="0"/>
            </w:tcBorders>
          </w:tcPr>
          <w:p w14:paraId="498F52DE">
            <w:pPr>
              <w:autoSpaceDE w:val="0"/>
              <w:spacing w:line="360" w:lineRule="exact"/>
              <w:jc w:val="center"/>
              <w:rPr>
                <w:rFonts w:ascii="宋体" w:hAnsi="宋体"/>
                <w:sz w:val="18"/>
                <w:szCs w:val="18"/>
              </w:rPr>
            </w:pPr>
            <w:r>
              <w:rPr>
                <w:rFonts w:hint="eastAsia" w:ascii="宋体" w:hAnsi="宋体"/>
                <w:sz w:val="18"/>
                <w:szCs w:val="18"/>
              </w:rPr>
              <w:t>3</w:t>
            </w:r>
          </w:p>
        </w:tc>
        <w:tc>
          <w:tcPr>
            <w:tcW w:w="819" w:type="dxa"/>
            <w:tcBorders>
              <w:top w:val="single" w:color="auto" w:sz="4" w:space="0"/>
              <w:left w:val="single" w:color="auto" w:sz="4" w:space="0"/>
              <w:bottom w:val="single" w:color="auto" w:sz="4" w:space="0"/>
              <w:right w:val="single" w:color="auto" w:sz="4" w:space="0"/>
            </w:tcBorders>
          </w:tcPr>
          <w:p w14:paraId="112C2CAE">
            <w:pPr>
              <w:autoSpaceDE w:val="0"/>
              <w:spacing w:line="360" w:lineRule="exact"/>
              <w:jc w:val="center"/>
              <w:rPr>
                <w:rFonts w:ascii="宋体" w:hAnsi="宋体"/>
                <w:sz w:val="18"/>
                <w:szCs w:val="18"/>
              </w:rPr>
            </w:pPr>
            <w:r>
              <w:rPr>
                <w:rFonts w:hint="eastAsia" w:ascii="宋体" w:hAnsi="宋体"/>
                <w:sz w:val="18"/>
                <w:szCs w:val="18"/>
              </w:rPr>
              <w:t>5</w:t>
            </w:r>
          </w:p>
        </w:tc>
        <w:tc>
          <w:tcPr>
            <w:tcW w:w="702" w:type="dxa"/>
            <w:tcBorders>
              <w:top w:val="single" w:color="auto" w:sz="4" w:space="0"/>
              <w:left w:val="single" w:color="auto" w:sz="4" w:space="0"/>
              <w:bottom w:val="single" w:color="auto" w:sz="4" w:space="0"/>
              <w:right w:val="single" w:color="auto" w:sz="4" w:space="0"/>
            </w:tcBorders>
          </w:tcPr>
          <w:p w14:paraId="103D681C">
            <w:pPr>
              <w:autoSpaceDE w:val="0"/>
              <w:spacing w:line="360" w:lineRule="exact"/>
              <w:jc w:val="center"/>
              <w:rPr>
                <w:rFonts w:ascii="宋体" w:hAnsi="宋体"/>
                <w:sz w:val="18"/>
                <w:szCs w:val="18"/>
              </w:rPr>
            </w:pPr>
            <w:r>
              <w:rPr>
                <w:rFonts w:hint="eastAsia" w:ascii="宋体" w:hAnsi="宋体"/>
                <w:sz w:val="18"/>
                <w:szCs w:val="18"/>
              </w:rPr>
              <w:t>5</w:t>
            </w:r>
          </w:p>
        </w:tc>
        <w:tc>
          <w:tcPr>
            <w:tcW w:w="995" w:type="dxa"/>
            <w:tcBorders>
              <w:top w:val="single" w:color="auto" w:sz="4" w:space="0"/>
              <w:left w:val="single" w:color="auto" w:sz="4" w:space="0"/>
              <w:bottom w:val="single" w:color="auto" w:sz="4" w:space="0"/>
              <w:right w:val="single" w:color="auto" w:sz="4" w:space="0"/>
            </w:tcBorders>
          </w:tcPr>
          <w:p w14:paraId="4F073FA0">
            <w:pPr>
              <w:autoSpaceDE w:val="0"/>
              <w:spacing w:line="360" w:lineRule="exact"/>
              <w:jc w:val="center"/>
              <w:rPr>
                <w:rFonts w:ascii="宋体" w:hAnsi="宋体"/>
                <w:sz w:val="18"/>
                <w:szCs w:val="18"/>
              </w:rPr>
            </w:pPr>
            <w:r>
              <w:rPr>
                <w:rFonts w:hint="eastAsia" w:ascii="宋体" w:hAnsi="宋体"/>
                <w:sz w:val="18"/>
                <w:szCs w:val="18"/>
              </w:rPr>
              <w:t>3</w:t>
            </w:r>
          </w:p>
        </w:tc>
        <w:tc>
          <w:tcPr>
            <w:tcW w:w="1161" w:type="dxa"/>
            <w:tcBorders>
              <w:top w:val="single" w:color="auto" w:sz="4" w:space="0"/>
              <w:left w:val="single" w:color="auto" w:sz="4" w:space="0"/>
              <w:bottom w:val="single" w:color="auto" w:sz="4" w:space="0"/>
              <w:right w:val="single" w:color="auto" w:sz="4" w:space="0"/>
            </w:tcBorders>
          </w:tcPr>
          <w:p w14:paraId="6D2F1B80">
            <w:pPr>
              <w:autoSpaceDE w:val="0"/>
              <w:spacing w:line="360" w:lineRule="exact"/>
              <w:jc w:val="center"/>
              <w:rPr>
                <w:rFonts w:ascii="宋体" w:hAnsi="宋体"/>
                <w:sz w:val="18"/>
                <w:szCs w:val="18"/>
              </w:rPr>
            </w:pPr>
            <w:r>
              <w:rPr>
                <w:rFonts w:hint="eastAsia" w:ascii="宋体" w:hAnsi="宋体"/>
                <w:sz w:val="18"/>
                <w:szCs w:val="18"/>
              </w:rPr>
              <w:t>5</w:t>
            </w:r>
          </w:p>
        </w:tc>
        <w:tc>
          <w:tcPr>
            <w:tcW w:w="990" w:type="dxa"/>
            <w:tcBorders>
              <w:top w:val="single" w:color="auto" w:sz="4" w:space="0"/>
              <w:left w:val="single" w:color="auto" w:sz="4" w:space="0"/>
              <w:bottom w:val="single" w:color="auto" w:sz="4" w:space="0"/>
              <w:right w:val="single" w:color="auto" w:sz="4" w:space="0"/>
            </w:tcBorders>
          </w:tcPr>
          <w:p w14:paraId="49C21186">
            <w:pPr>
              <w:autoSpaceDE w:val="0"/>
              <w:spacing w:line="360" w:lineRule="exact"/>
              <w:jc w:val="center"/>
              <w:rPr>
                <w:rFonts w:ascii="宋体" w:hAnsi="宋体"/>
                <w:sz w:val="18"/>
                <w:szCs w:val="18"/>
              </w:rPr>
            </w:pPr>
            <w:r>
              <w:rPr>
                <w:rFonts w:hint="eastAsia" w:ascii="宋体" w:hAnsi="宋体"/>
                <w:sz w:val="18"/>
                <w:szCs w:val="18"/>
              </w:rPr>
              <w:t>4</w:t>
            </w:r>
          </w:p>
        </w:tc>
        <w:tc>
          <w:tcPr>
            <w:tcW w:w="730" w:type="dxa"/>
            <w:tcBorders>
              <w:top w:val="single" w:color="auto" w:sz="4" w:space="0"/>
              <w:left w:val="single" w:color="auto" w:sz="4" w:space="0"/>
              <w:bottom w:val="single" w:color="auto" w:sz="4" w:space="0"/>
              <w:right w:val="single" w:color="auto" w:sz="4" w:space="0"/>
            </w:tcBorders>
          </w:tcPr>
          <w:p w14:paraId="46201B4C">
            <w:pPr>
              <w:autoSpaceDE w:val="0"/>
              <w:spacing w:line="360" w:lineRule="exact"/>
              <w:jc w:val="center"/>
              <w:rPr>
                <w:rFonts w:ascii="宋体" w:hAnsi="宋体"/>
                <w:sz w:val="18"/>
                <w:szCs w:val="18"/>
              </w:rPr>
            </w:pPr>
            <w:r>
              <w:rPr>
                <w:rFonts w:hint="eastAsia" w:ascii="宋体" w:hAnsi="宋体"/>
                <w:sz w:val="18"/>
                <w:szCs w:val="18"/>
              </w:rPr>
              <w:t>44.6</w:t>
            </w:r>
          </w:p>
        </w:tc>
        <w:tc>
          <w:tcPr>
            <w:tcW w:w="720" w:type="dxa"/>
            <w:tcBorders>
              <w:top w:val="single" w:color="auto" w:sz="4" w:space="0"/>
              <w:left w:val="single" w:color="auto" w:sz="4" w:space="0"/>
              <w:bottom w:val="single" w:color="auto" w:sz="4" w:space="0"/>
              <w:right w:val="single" w:color="auto" w:sz="4" w:space="0"/>
            </w:tcBorders>
          </w:tcPr>
          <w:p w14:paraId="238CEAD8">
            <w:pPr>
              <w:autoSpaceDE w:val="0"/>
              <w:spacing w:line="360" w:lineRule="exact"/>
              <w:jc w:val="center"/>
              <w:rPr>
                <w:rFonts w:ascii="宋体" w:hAnsi="宋体"/>
                <w:sz w:val="18"/>
                <w:szCs w:val="18"/>
              </w:rPr>
            </w:pPr>
            <w:r>
              <w:rPr>
                <w:rFonts w:hint="eastAsia" w:ascii="宋体" w:hAnsi="宋体"/>
                <w:sz w:val="18"/>
                <w:szCs w:val="18"/>
              </w:rPr>
              <w:t>33.2</w:t>
            </w:r>
          </w:p>
        </w:tc>
      </w:tr>
      <w:tr w14:paraId="50C47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tcBorders>
              <w:top w:val="single" w:color="auto" w:sz="4" w:space="0"/>
              <w:left w:val="single" w:color="auto" w:sz="4" w:space="0"/>
              <w:bottom w:val="single" w:color="auto" w:sz="4" w:space="0"/>
              <w:right w:val="single" w:color="auto" w:sz="4" w:space="0"/>
            </w:tcBorders>
            <w:vAlign w:val="center"/>
          </w:tcPr>
          <w:p w14:paraId="089C599C">
            <w:pPr>
              <w:autoSpaceDE w:val="0"/>
              <w:spacing w:line="360" w:lineRule="exact"/>
              <w:jc w:val="center"/>
              <w:rPr>
                <w:rFonts w:ascii="宋体" w:hAnsi="宋体"/>
                <w:sz w:val="18"/>
                <w:szCs w:val="18"/>
              </w:rPr>
            </w:pPr>
            <w:r>
              <w:rPr>
                <w:rFonts w:hint="eastAsia" w:ascii="宋体" w:hAnsi="宋体"/>
                <w:sz w:val="18"/>
                <w:szCs w:val="18"/>
              </w:rPr>
              <w:t>2</w:t>
            </w:r>
          </w:p>
        </w:tc>
        <w:tc>
          <w:tcPr>
            <w:tcW w:w="804" w:type="dxa"/>
            <w:tcBorders>
              <w:top w:val="single" w:color="auto" w:sz="4" w:space="0"/>
              <w:left w:val="single" w:color="auto" w:sz="4" w:space="0"/>
              <w:bottom w:val="single" w:color="auto" w:sz="4" w:space="0"/>
              <w:right w:val="single" w:color="auto" w:sz="4" w:space="0"/>
            </w:tcBorders>
          </w:tcPr>
          <w:p w14:paraId="76B4D070">
            <w:pPr>
              <w:autoSpaceDE w:val="0"/>
              <w:spacing w:line="360" w:lineRule="exact"/>
              <w:jc w:val="center"/>
              <w:rPr>
                <w:rFonts w:ascii="宋体" w:hAnsi="宋体"/>
                <w:sz w:val="18"/>
                <w:szCs w:val="18"/>
              </w:rPr>
            </w:pPr>
            <w:r>
              <w:rPr>
                <w:rFonts w:hint="eastAsia" w:ascii="宋体" w:hAnsi="宋体"/>
                <w:sz w:val="18"/>
                <w:szCs w:val="18"/>
              </w:rPr>
              <w:t>8000</w:t>
            </w:r>
          </w:p>
        </w:tc>
        <w:tc>
          <w:tcPr>
            <w:tcW w:w="745" w:type="dxa"/>
            <w:tcBorders>
              <w:top w:val="single" w:color="auto" w:sz="4" w:space="0"/>
              <w:left w:val="single" w:color="auto" w:sz="4" w:space="0"/>
              <w:bottom w:val="single" w:color="auto" w:sz="4" w:space="0"/>
              <w:right w:val="single" w:color="auto" w:sz="4" w:space="0"/>
            </w:tcBorders>
          </w:tcPr>
          <w:p w14:paraId="6762CAAC">
            <w:pPr>
              <w:autoSpaceDE w:val="0"/>
              <w:spacing w:line="360" w:lineRule="exact"/>
              <w:jc w:val="center"/>
              <w:rPr>
                <w:rFonts w:ascii="宋体" w:hAnsi="宋体"/>
                <w:sz w:val="18"/>
                <w:szCs w:val="18"/>
              </w:rPr>
            </w:pPr>
            <w:r>
              <w:rPr>
                <w:rFonts w:hint="eastAsia" w:ascii="宋体" w:hAnsi="宋体"/>
                <w:sz w:val="18"/>
                <w:szCs w:val="18"/>
              </w:rPr>
              <w:t>4400</w:t>
            </w:r>
          </w:p>
        </w:tc>
        <w:tc>
          <w:tcPr>
            <w:tcW w:w="819" w:type="dxa"/>
            <w:tcBorders>
              <w:top w:val="single" w:color="auto" w:sz="4" w:space="0"/>
              <w:left w:val="single" w:color="auto" w:sz="4" w:space="0"/>
              <w:bottom w:val="single" w:color="auto" w:sz="4" w:space="0"/>
              <w:right w:val="single" w:color="auto" w:sz="4" w:space="0"/>
            </w:tcBorders>
          </w:tcPr>
          <w:p w14:paraId="3A79FBBF">
            <w:pPr>
              <w:autoSpaceDE w:val="0"/>
              <w:spacing w:line="360" w:lineRule="exact"/>
              <w:jc w:val="center"/>
              <w:rPr>
                <w:rFonts w:ascii="宋体" w:hAnsi="宋体"/>
                <w:sz w:val="18"/>
                <w:szCs w:val="18"/>
              </w:rPr>
            </w:pPr>
            <w:r>
              <w:rPr>
                <w:rFonts w:hint="eastAsia" w:ascii="宋体" w:hAnsi="宋体"/>
                <w:sz w:val="18"/>
                <w:szCs w:val="18"/>
              </w:rPr>
              <w:t>7</w:t>
            </w:r>
          </w:p>
        </w:tc>
        <w:tc>
          <w:tcPr>
            <w:tcW w:w="819" w:type="dxa"/>
            <w:tcBorders>
              <w:top w:val="single" w:color="auto" w:sz="4" w:space="0"/>
              <w:left w:val="single" w:color="auto" w:sz="4" w:space="0"/>
              <w:bottom w:val="single" w:color="auto" w:sz="4" w:space="0"/>
              <w:right w:val="single" w:color="auto" w:sz="4" w:space="0"/>
            </w:tcBorders>
          </w:tcPr>
          <w:p w14:paraId="1949E114">
            <w:pPr>
              <w:autoSpaceDE w:val="0"/>
              <w:spacing w:line="360" w:lineRule="exact"/>
              <w:jc w:val="center"/>
              <w:rPr>
                <w:rFonts w:ascii="宋体" w:hAnsi="宋体"/>
                <w:sz w:val="18"/>
                <w:szCs w:val="18"/>
              </w:rPr>
            </w:pPr>
            <w:r>
              <w:rPr>
                <w:rFonts w:hint="eastAsia" w:ascii="宋体" w:hAnsi="宋体"/>
                <w:sz w:val="18"/>
                <w:szCs w:val="18"/>
              </w:rPr>
              <w:t>4</w:t>
            </w:r>
          </w:p>
        </w:tc>
        <w:tc>
          <w:tcPr>
            <w:tcW w:w="819" w:type="dxa"/>
            <w:tcBorders>
              <w:top w:val="single" w:color="auto" w:sz="4" w:space="0"/>
              <w:left w:val="single" w:color="auto" w:sz="4" w:space="0"/>
              <w:bottom w:val="single" w:color="auto" w:sz="4" w:space="0"/>
              <w:right w:val="single" w:color="auto" w:sz="4" w:space="0"/>
            </w:tcBorders>
          </w:tcPr>
          <w:p w14:paraId="3FD23549">
            <w:pPr>
              <w:autoSpaceDE w:val="0"/>
              <w:spacing w:line="360" w:lineRule="exact"/>
              <w:jc w:val="center"/>
              <w:rPr>
                <w:rFonts w:ascii="宋体" w:hAnsi="宋体"/>
                <w:sz w:val="18"/>
                <w:szCs w:val="18"/>
              </w:rPr>
            </w:pPr>
            <w:r>
              <w:rPr>
                <w:rFonts w:hint="eastAsia" w:ascii="宋体" w:hAnsi="宋体"/>
                <w:sz w:val="18"/>
                <w:szCs w:val="18"/>
              </w:rPr>
              <w:t>6</w:t>
            </w:r>
          </w:p>
        </w:tc>
        <w:tc>
          <w:tcPr>
            <w:tcW w:w="702" w:type="dxa"/>
            <w:tcBorders>
              <w:top w:val="single" w:color="auto" w:sz="4" w:space="0"/>
              <w:left w:val="single" w:color="auto" w:sz="4" w:space="0"/>
              <w:bottom w:val="single" w:color="auto" w:sz="4" w:space="0"/>
              <w:right w:val="single" w:color="auto" w:sz="4" w:space="0"/>
            </w:tcBorders>
          </w:tcPr>
          <w:p w14:paraId="10877249">
            <w:pPr>
              <w:autoSpaceDE w:val="0"/>
              <w:spacing w:line="360" w:lineRule="exact"/>
              <w:jc w:val="center"/>
              <w:rPr>
                <w:rFonts w:ascii="宋体" w:hAnsi="宋体"/>
                <w:sz w:val="18"/>
                <w:szCs w:val="18"/>
              </w:rPr>
            </w:pPr>
            <w:r>
              <w:rPr>
                <w:rFonts w:hint="eastAsia" w:ascii="宋体" w:hAnsi="宋体"/>
                <w:sz w:val="18"/>
                <w:szCs w:val="18"/>
              </w:rPr>
              <w:t>5</w:t>
            </w:r>
          </w:p>
        </w:tc>
        <w:tc>
          <w:tcPr>
            <w:tcW w:w="995" w:type="dxa"/>
            <w:tcBorders>
              <w:top w:val="single" w:color="auto" w:sz="4" w:space="0"/>
              <w:left w:val="single" w:color="auto" w:sz="4" w:space="0"/>
              <w:bottom w:val="single" w:color="auto" w:sz="4" w:space="0"/>
              <w:right w:val="single" w:color="auto" w:sz="4" w:space="0"/>
            </w:tcBorders>
          </w:tcPr>
          <w:p w14:paraId="59885214">
            <w:pPr>
              <w:autoSpaceDE w:val="0"/>
              <w:spacing w:line="360" w:lineRule="exact"/>
              <w:jc w:val="center"/>
              <w:rPr>
                <w:rFonts w:ascii="宋体" w:hAnsi="宋体"/>
                <w:sz w:val="18"/>
                <w:szCs w:val="18"/>
              </w:rPr>
            </w:pPr>
            <w:r>
              <w:rPr>
                <w:rFonts w:hint="eastAsia" w:ascii="宋体" w:hAnsi="宋体"/>
                <w:sz w:val="18"/>
                <w:szCs w:val="18"/>
              </w:rPr>
              <w:t>4</w:t>
            </w:r>
          </w:p>
        </w:tc>
        <w:tc>
          <w:tcPr>
            <w:tcW w:w="1161" w:type="dxa"/>
            <w:tcBorders>
              <w:top w:val="single" w:color="auto" w:sz="4" w:space="0"/>
              <w:left w:val="single" w:color="auto" w:sz="4" w:space="0"/>
              <w:bottom w:val="single" w:color="auto" w:sz="4" w:space="0"/>
              <w:right w:val="single" w:color="auto" w:sz="4" w:space="0"/>
            </w:tcBorders>
          </w:tcPr>
          <w:p w14:paraId="446E7731">
            <w:pPr>
              <w:autoSpaceDE w:val="0"/>
              <w:spacing w:line="360" w:lineRule="exact"/>
              <w:jc w:val="center"/>
              <w:rPr>
                <w:rFonts w:ascii="宋体" w:hAnsi="宋体"/>
                <w:sz w:val="18"/>
                <w:szCs w:val="18"/>
              </w:rPr>
            </w:pPr>
            <w:r>
              <w:rPr>
                <w:rFonts w:hint="eastAsia" w:ascii="宋体" w:hAnsi="宋体"/>
                <w:sz w:val="18"/>
                <w:szCs w:val="18"/>
              </w:rPr>
              <w:t>6</w:t>
            </w:r>
          </w:p>
        </w:tc>
        <w:tc>
          <w:tcPr>
            <w:tcW w:w="990" w:type="dxa"/>
            <w:tcBorders>
              <w:top w:val="single" w:color="auto" w:sz="4" w:space="0"/>
              <w:left w:val="single" w:color="auto" w:sz="4" w:space="0"/>
              <w:bottom w:val="single" w:color="auto" w:sz="4" w:space="0"/>
              <w:right w:val="single" w:color="auto" w:sz="4" w:space="0"/>
            </w:tcBorders>
          </w:tcPr>
          <w:p w14:paraId="286ACB00">
            <w:pPr>
              <w:autoSpaceDE w:val="0"/>
              <w:spacing w:line="360" w:lineRule="exact"/>
              <w:jc w:val="center"/>
              <w:rPr>
                <w:rFonts w:ascii="宋体" w:hAnsi="宋体"/>
                <w:sz w:val="18"/>
                <w:szCs w:val="18"/>
              </w:rPr>
            </w:pPr>
            <w:r>
              <w:rPr>
                <w:rFonts w:hint="eastAsia" w:ascii="宋体" w:hAnsi="宋体"/>
                <w:sz w:val="18"/>
                <w:szCs w:val="18"/>
              </w:rPr>
              <w:t>6</w:t>
            </w:r>
          </w:p>
        </w:tc>
        <w:tc>
          <w:tcPr>
            <w:tcW w:w="730" w:type="dxa"/>
            <w:tcBorders>
              <w:top w:val="single" w:color="auto" w:sz="4" w:space="0"/>
              <w:left w:val="single" w:color="auto" w:sz="4" w:space="0"/>
              <w:bottom w:val="single" w:color="auto" w:sz="4" w:space="0"/>
              <w:right w:val="single" w:color="auto" w:sz="4" w:space="0"/>
            </w:tcBorders>
          </w:tcPr>
          <w:p w14:paraId="0A69703B">
            <w:pPr>
              <w:autoSpaceDE w:val="0"/>
              <w:spacing w:line="360" w:lineRule="exact"/>
              <w:jc w:val="center"/>
              <w:rPr>
                <w:rFonts w:ascii="宋体" w:hAnsi="宋体"/>
                <w:sz w:val="18"/>
                <w:szCs w:val="18"/>
              </w:rPr>
            </w:pPr>
            <w:r>
              <w:rPr>
                <w:rFonts w:hint="eastAsia" w:ascii="宋体" w:hAnsi="宋体"/>
                <w:sz w:val="18"/>
                <w:szCs w:val="18"/>
              </w:rPr>
              <w:t>44.0</w:t>
            </w:r>
          </w:p>
        </w:tc>
        <w:tc>
          <w:tcPr>
            <w:tcW w:w="720" w:type="dxa"/>
            <w:tcBorders>
              <w:top w:val="single" w:color="auto" w:sz="4" w:space="0"/>
              <w:left w:val="single" w:color="auto" w:sz="4" w:space="0"/>
              <w:bottom w:val="single" w:color="auto" w:sz="4" w:space="0"/>
              <w:right w:val="single" w:color="auto" w:sz="4" w:space="0"/>
            </w:tcBorders>
          </w:tcPr>
          <w:p w14:paraId="7B474941">
            <w:pPr>
              <w:autoSpaceDE w:val="0"/>
              <w:spacing w:line="360" w:lineRule="exact"/>
              <w:jc w:val="center"/>
              <w:rPr>
                <w:rFonts w:ascii="宋体" w:hAnsi="宋体"/>
                <w:sz w:val="18"/>
                <w:szCs w:val="18"/>
              </w:rPr>
            </w:pPr>
            <w:r>
              <w:rPr>
                <w:rFonts w:hint="eastAsia" w:ascii="宋体" w:hAnsi="宋体"/>
                <w:sz w:val="18"/>
                <w:szCs w:val="18"/>
              </w:rPr>
              <w:t>31.7</w:t>
            </w:r>
          </w:p>
        </w:tc>
      </w:tr>
      <w:tr w14:paraId="60AFF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tcBorders>
              <w:top w:val="single" w:color="auto" w:sz="4" w:space="0"/>
              <w:left w:val="single" w:color="auto" w:sz="4" w:space="0"/>
              <w:bottom w:val="single" w:color="auto" w:sz="4" w:space="0"/>
              <w:right w:val="single" w:color="auto" w:sz="4" w:space="0"/>
            </w:tcBorders>
            <w:vAlign w:val="center"/>
          </w:tcPr>
          <w:p w14:paraId="4B9364B6">
            <w:pPr>
              <w:autoSpaceDE w:val="0"/>
              <w:spacing w:line="360" w:lineRule="exact"/>
              <w:jc w:val="center"/>
              <w:rPr>
                <w:rFonts w:ascii="宋体" w:hAnsi="宋体"/>
                <w:sz w:val="18"/>
                <w:szCs w:val="18"/>
              </w:rPr>
            </w:pPr>
            <w:r>
              <w:rPr>
                <w:rFonts w:hint="eastAsia" w:ascii="宋体" w:hAnsi="宋体"/>
                <w:sz w:val="18"/>
                <w:szCs w:val="18"/>
              </w:rPr>
              <w:t>3</w:t>
            </w:r>
          </w:p>
        </w:tc>
        <w:tc>
          <w:tcPr>
            <w:tcW w:w="804" w:type="dxa"/>
            <w:tcBorders>
              <w:top w:val="single" w:color="auto" w:sz="4" w:space="0"/>
              <w:left w:val="single" w:color="auto" w:sz="4" w:space="0"/>
              <w:bottom w:val="single" w:color="auto" w:sz="4" w:space="0"/>
              <w:right w:val="single" w:color="auto" w:sz="4" w:space="0"/>
            </w:tcBorders>
          </w:tcPr>
          <w:p w14:paraId="5C7859DA">
            <w:pPr>
              <w:autoSpaceDE w:val="0"/>
              <w:spacing w:line="360" w:lineRule="exact"/>
              <w:jc w:val="center"/>
              <w:rPr>
                <w:rFonts w:ascii="宋体" w:hAnsi="宋体"/>
                <w:sz w:val="18"/>
                <w:szCs w:val="18"/>
              </w:rPr>
            </w:pPr>
            <w:r>
              <w:rPr>
                <w:rFonts w:hint="eastAsia" w:ascii="宋体" w:hAnsi="宋体"/>
                <w:sz w:val="18"/>
                <w:szCs w:val="18"/>
              </w:rPr>
              <w:t>10000</w:t>
            </w:r>
          </w:p>
        </w:tc>
        <w:tc>
          <w:tcPr>
            <w:tcW w:w="745" w:type="dxa"/>
            <w:tcBorders>
              <w:top w:val="single" w:color="auto" w:sz="4" w:space="0"/>
              <w:left w:val="single" w:color="auto" w:sz="4" w:space="0"/>
              <w:bottom w:val="single" w:color="auto" w:sz="4" w:space="0"/>
              <w:right w:val="single" w:color="auto" w:sz="4" w:space="0"/>
            </w:tcBorders>
          </w:tcPr>
          <w:p w14:paraId="65F22812">
            <w:pPr>
              <w:autoSpaceDE w:val="0"/>
              <w:spacing w:line="360" w:lineRule="exact"/>
              <w:jc w:val="center"/>
              <w:rPr>
                <w:rFonts w:ascii="宋体" w:hAnsi="宋体"/>
                <w:sz w:val="18"/>
                <w:szCs w:val="18"/>
              </w:rPr>
            </w:pPr>
            <w:r>
              <w:rPr>
                <w:rFonts w:hint="eastAsia" w:ascii="宋体" w:hAnsi="宋体"/>
                <w:sz w:val="18"/>
                <w:szCs w:val="18"/>
              </w:rPr>
              <w:t>5500</w:t>
            </w:r>
          </w:p>
        </w:tc>
        <w:tc>
          <w:tcPr>
            <w:tcW w:w="819" w:type="dxa"/>
            <w:tcBorders>
              <w:top w:val="single" w:color="auto" w:sz="4" w:space="0"/>
              <w:left w:val="single" w:color="auto" w:sz="4" w:space="0"/>
              <w:bottom w:val="single" w:color="auto" w:sz="4" w:space="0"/>
              <w:right w:val="single" w:color="auto" w:sz="4" w:space="0"/>
            </w:tcBorders>
          </w:tcPr>
          <w:p w14:paraId="38BA4FF8">
            <w:pPr>
              <w:autoSpaceDE w:val="0"/>
              <w:spacing w:line="360" w:lineRule="exact"/>
              <w:jc w:val="center"/>
              <w:rPr>
                <w:rFonts w:ascii="宋体" w:hAnsi="宋体"/>
                <w:sz w:val="18"/>
                <w:szCs w:val="18"/>
              </w:rPr>
            </w:pPr>
            <w:r>
              <w:rPr>
                <w:rFonts w:hint="eastAsia" w:ascii="宋体" w:hAnsi="宋体"/>
                <w:sz w:val="18"/>
                <w:szCs w:val="18"/>
              </w:rPr>
              <w:t>8</w:t>
            </w:r>
          </w:p>
        </w:tc>
        <w:tc>
          <w:tcPr>
            <w:tcW w:w="819" w:type="dxa"/>
            <w:tcBorders>
              <w:top w:val="single" w:color="auto" w:sz="4" w:space="0"/>
              <w:left w:val="single" w:color="auto" w:sz="4" w:space="0"/>
              <w:bottom w:val="single" w:color="auto" w:sz="4" w:space="0"/>
              <w:right w:val="single" w:color="auto" w:sz="4" w:space="0"/>
            </w:tcBorders>
          </w:tcPr>
          <w:p w14:paraId="304DA2D8">
            <w:pPr>
              <w:autoSpaceDE w:val="0"/>
              <w:spacing w:line="360" w:lineRule="exact"/>
              <w:jc w:val="center"/>
              <w:rPr>
                <w:rFonts w:ascii="宋体" w:hAnsi="宋体"/>
                <w:sz w:val="18"/>
                <w:szCs w:val="18"/>
              </w:rPr>
            </w:pPr>
            <w:r>
              <w:rPr>
                <w:rFonts w:hint="eastAsia" w:ascii="宋体" w:hAnsi="宋体"/>
                <w:sz w:val="18"/>
                <w:szCs w:val="18"/>
              </w:rPr>
              <w:t>5</w:t>
            </w:r>
          </w:p>
        </w:tc>
        <w:tc>
          <w:tcPr>
            <w:tcW w:w="819" w:type="dxa"/>
            <w:tcBorders>
              <w:top w:val="single" w:color="auto" w:sz="4" w:space="0"/>
              <w:left w:val="single" w:color="auto" w:sz="4" w:space="0"/>
              <w:bottom w:val="single" w:color="auto" w:sz="4" w:space="0"/>
              <w:right w:val="single" w:color="auto" w:sz="4" w:space="0"/>
            </w:tcBorders>
          </w:tcPr>
          <w:p w14:paraId="53F0E996">
            <w:pPr>
              <w:autoSpaceDE w:val="0"/>
              <w:spacing w:line="360" w:lineRule="exact"/>
              <w:jc w:val="center"/>
              <w:rPr>
                <w:rFonts w:ascii="宋体" w:hAnsi="宋体"/>
                <w:sz w:val="18"/>
                <w:szCs w:val="18"/>
              </w:rPr>
            </w:pPr>
            <w:r>
              <w:rPr>
                <w:rFonts w:hint="eastAsia" w:ascii="宋体" w:hAnsi="宋体"/>
                <w:sz w:val="18"/>
                <w:szCs w:val="18"/>
              </w:rPr>
              <w:t>8</w:t>
            </w:r>
          </w:p>
        </w:tc>
        <w:tc>
          <w:tcPr>
            <w:tcW w:w="702" w:type="dxa"/>
            <w:tcBorders>
              <w:top w:val="single" w:color="auto" w:sz="4" w:space="0"/>
              <w:left w:val="single" w:color="auto" w:sz="4" w:space="0"/>
              <w:bottom w:val="single" w:color="auto" w:sz="4" w:space="0"/>
              <w:right w:val="single" w:color="auto" w:sz="4" w:space="0"/>
            </w:tcBorders>
          </w:tcPr>
          <w:p w14:paraId="766C5F07">
            <w:pPr>
              <w:autoSpaceDE w:val="0"/>
              <w:spacing w:line="360" w:lineRule="exact"/>
              <w:jc w:val="center"/>
              <w:rPr>
                <w:rFonts w:ascii="宋体" w:hAnsi="宋体"/>
                <w:sz w:val="18"/>
                <w:szCs w:val="18"/>
              </w:rPr>
            </w:pPr>
            <w:r>
              <w:rPr>
                <w:rFonts w:hint="eastAsia" w:ascii="宋体" w:hAnsi="宋体"/>
                <w:sz w:val="18"/>
                <w:szCs w:val="18"/>
              </w:rPr>
              <w:t>6</w:t>
            </w:r>
          </w:p>
        </w:tc>
        <w:tc>
          <w:tcPr>
            <w:tcW w:w="995" w:type="dxa"/>
            <w:tcBorders>
              <w:top w:val="single" w:color="auto" w:sz="4" w:space="0"/>
              <w:left w:val="single" w:color="auto" w:sz="4" w:space="0"/>
              <w:bottom w:val="single" w:color="auto" w:sz="4" w:space="0"/>
              <w:right w:val="single" w:color="auto" w:sz="4" w:space="0"/>
            </w:tcBorders>
          </w:tcPr>
          <w:p w14:paraId="7B11DC70">
            <w:pPr>
              <w:autoSpaceDE w:val="0"/>
              <w:spacing w:line="360" w:lineRule="exact"/>
              <w:jc w:val="center"/>
              <w:rPr>
                <w:rFonts w:ascii="宋体" w:hAnsi="宋体"/>
                <w:sz w:val="18"/>
                <w:szCs w:val="18"/>
              </w:rPr>
            </w:pPr>
            <w:r>
              <w:rPr>
                <w:rFonts w:hint="eastAsia" w:ascii="宋体" w:hAnsi="宋体"/>
                <w:sz w:val="18"/>
                <w:szCs w:val="18"/>
              </w:rPr>
              <w:t>5</w:t>
            </w:r>
          </w:p>
        </w:tc>
        <w:tc>
          <w:tcPr>
            <w:tcW w:w="1161" w:type="dxa"/>
            <w:tcBorders>
              <w:top w:val="single" w:color="auto" w:sz="4" w:space="0"/>
              <w:left w:val="single" w:color="auto" w:sz="4" w:space="0"/>
              <w:bottom w:val="single" w:color="auto" w:sz="4" w:space="0"/>
              <w:right w:val="single" w:color="auto" w:sz="4" w:space="0"/>
            </w:tcBorders>
          </w:tcPr>
          <w:p w14:paraId="6122E517">
            <w:pPr>
              <w:autoSpaceDE w:val="0"/>
              <w:spacing w:line="360" w:lineRule="exact"/>
              <w:jc w:val="center"/>
              <w:rPr>
                <w:rFonts w:ascii="宋体" w:hAnsi="宋体"/>
                <w:sz w:val="18"/>
                <w:szCs w:val="18"/>
              </w:rPr>
            </w:pPr>
            <w:r>
              <w:rPr>
                <w:rFonts w:hint="eastAsia" w:ascii="宋体" w:hAnsi="宋体"/>
                <w:sz w:val="18"/>
                <w:szCs w:val="18"/>
              </w:rPr>
              <w:t>8</w:t>
            </w:r>
          </w:p>
        </w:tc>
        <w:tc>
          <w:tcPr>
            <w:tcW w:w="990" w:type="dxa"/>
            <w:tcBorders>
              <w:top w:val="single" w:color="auto" w:sz="4" w:space="0"/>
              <w:left w:val="single" w:color="auto" w:sz="4" w:space="0"/>
              <w:bottom w:val="single" w:color="auto" w:sz="4" w:space="0"/>
              <w:right w:val="single" w:color="auto" w:sz="4" w:space="0"/>
            </w:tcBorders>
          </w:tcPr>
          <w:p w14:paraId="1E880ABA">
            <w:pPr>
              <w:autoSpaceDE w:val="0"/>
              <w:spacing w:line="360" w:lineRule="exact"/>
              <w:jc w:val="center"/>
              <w:rPr>
                <w:rFonts w:ascii="宋体" w:hAnsi="宋体"/>
                <w:sz w:val="18"/>
                <w:szCs w:val="18"/>
              </w:rPr>
            </w:pPr>
            <w:r>
              <w:rPr>
                <w:rFonts w:hint="eastAsia" w:ascii="宋体" w:hAnsi="宋体"/>
                <w:sz w:val="18"/>
                <w:szCs w:val="18"/>
              </w:rPr>
              <w:t>8</w:t>
            </w:r>
          </w:p>
        </w:tc>
        <w:tc>
          <w:tcPr>
            <w:tcW w:w="730" w:type="dxa"/>
            <w:tcBorders>
              <w:top w:val="single" w:color="auto" w:sz="4" w:space="0"/>
              <w:left w:val="single" w:color="auto" w:sz="4" w:space="0"/>
              <w:bottom w:val="single" w:color="auto" w:sz="4" w:space="0"/>
              <w:right w:val="single" w:color="auto" w:sz="4" w:space="0"/>
            </w:tcBorders>
          </w:tcPr>
          <w:p w14:paraId="04B43ED7">
            <w:pPr>
              <w:autoSpaceDE w:val="0"/>
              <w:spacing w:line="360" w:lineRule="exact"/>
              <w:jc w:val="center"/>
              <w:rPr>
                <w:rFonts w:ascii="宋体" w:hAnsi="宋体"/>
                <w:sz w:val="18"/>
                <w:szCs w:val="18"/>
              </w:rPr>
            </w:pPr>
            <w:r>
              <w:rPr>
                <w:rFonts w:hint="eastAsia" w:ascii="宋体" w:hAnsi="宋体"/>
                <w:sz w:val="18"/>
                <w:szCs w:val="18"/>
              </w:rPr>
              <w:t>43.8</w:t>
            </w:r>
          </w:p>
        </w:tc>
        <w:tc>
          <w:tcPr>
            <w:tcW w:w="720" w:type="dxa"/>
            <w:tcBorders>
              <w:top w:val="single" w:color="auto" w:sz="4" w:space="0"/>
              <w:left w:val="single" w:color="auto" w:sz="4" w:space="0"/>
              <w:bottom w:val="single" w:color="auto" w:sz="4" w:space="0"/>
              <w:right w:val="single" w:color="auto" w:sz="4" w:space="0"/>
            </w:tcBorders>
          </w:tcPr>
          <w:p w14:paraId="101118CB">
            <w:pPr>
              <w:autoSpaceDE w:val="0"/>
              <w:spacing w:line="360" w:lineRule="exact"/>
              <w:jc w:val="center"/>
              <w:rPr>
                <w:rFonts w:ascii="宋体" w:hAnsi="宋体"/>
                <w:sz w:val="18"/>
                <w:szCs w:val="18"/>
              </w:rPr>
            </w:pPr>
            <w:r>
              <w:rPr>
                <w:rFonts w:hint="eastAsia" w:ascii="宋体" w:hAnsi="宋体"/>
                <w:sz w:val="18"/>
                <w:szCs w:val="18"/>
              </w:rPr>
              <w:t>32.6</w:t>
            </w:r>
          </w:p>
        </w:tc>
      </w:tr>
      <w:tr w14:paraId="5A0F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tcBorders>
              <w:top w:val="single" w:color="auto" w:sz="4" w:space="0"/>
              <w:left w:val="single" w:color="auto" w:sz="4" w:space="0"/>
              <w:bottom w:val="single" w:color="auto" w:sz="4" w:space="0"/>
              <w:right w:val="single" w:color="auto" w:sz="4" w:space="0"/>
            </w:tcBorders>
            <w:vAlign w:val="center"/>
          </w:tcPr>
          <w:p w14:paraId="32D02947">
            <w:pPr>
              <w:autoSpaceDE w:val="0"/>
              <w:spacing w:line="360" w:lineRule="exact"/>
              <w:jc w:val="center"/>
              <w:rPr>
                <w:rFonts w:ascii="宋体" w:hAnsi="宋体"/>
                <w:sz w:val="18"/>
                <w:szCs w:val="18"/>
              </w:rPr>
            </w:pPr>
            <w:r>
              <w:rPr>
                <w:rFonts w:hint="eastAsia" w:ascii="宋体" w:hAnsi="宋体"/>
                <w:sz w:val="18"/>
                <w:szCs w:val="18"/>
              </w:rPr>
              <w:t>4</w:t>
            </w:r>
          </w:p>
        </w:tc>
        <w:tc>
          <w:tcPr>
            <w:tcW w:w="804" w:type="dxa"/>
            <w:tcBorders>
              <w:top w:val="single" w:color="auto" w:sz="4" w:space="0"/>
              <w:left w:val="single" w:color="auto" w:sz="4" w:space="0"/>
              <w:bottom w:val="single" w:color="auto" w:sz="4" w:space="0"/>
              <w:right w:val="single" w:color="auto" w:sz="4" w:space="0"/>
            </w:tcBorders>
          </w:tcPr>
          <w:p w14:paraId="2DEB88EF">
            <w:pPr>
              <w:autoSpaceDE w:val="0"/>
              <w:spacing w:line="360" w:lineRule="exact"/>
              <w:jc w:val="center"/>
              <w:rPr>
                <w:rFonts w:ascii="宋体" w:hAnsi="宋体"/>
                <w:sz w:val="18"/>
                <w:szCs w:val="18"/>
              </w:rPr>
            </w:pPr>
            <w:r>
              <w:rPr>
                <w:rFonts w:hint="eastAsia" w:ascii="宋体" w:hAnsi="宋体"/>
                <w:sz w:val="18"/>
                <w:szCs w:val="18"/>
              </w:rPr>
              <w:t>12000</w:t>
            </w:r>
          </w:p>
        </w:tc>
        <w:tc>
          <w:tcPr>
            <w:tcW w:w="745" w:type="dxa"/>
            <w:tcBorders>
              <w:top w:val="single" w:color="auto" w:sz="4" w:space="0"/>
              <w:left w:val="single" w:color="auto" w:sz="4" w:space="0"/>
              <w:bottom w:val="single" w:color="auto" w:sz="4" w:space="0"/>
              <w:right w:val="single" w:color="auto" w:sz="4" w:space="0"/>
            </w:tcBorders>
          </w:tcPr>
          <w:p w14:paraId="548E8051">
            <w:pPr>
              <w:autoSpaceDE w:val="0"/>
              <w:spacing w:line="360" w:lineRule="exact"/>
              <w:jc w:val="left"/>
              <w:rPr>
                <w:rFonts w:ascii="宋体" w:hAnsi="宋体"/>
                <w:sz w:val="18"/>
                <w:szCs w:val="18"/>
              </w:rPr>
            </w:pPr>
            <w:r>
              <w:rPr>
                <w:rFonts w:hint="eastAsia" w:ascii="宋体" w:hAnsi="宋体"/>
                <w:sz w:val="18"/>
                <w:szCs w:val="18"/>
              </w:rPr>
              <w:t>6200</w:t>
            </w:r>
          </w:p>
        </w:tc>
        <w:tc>
          <w:tcPr>
            <w:tcW w:w="819" w:type="dxa"/>
            <w:tcBorders>
              <w:top w:val="single" w:color="auto" w:sz="4" w:space="0"/>
              <w:left w:val="single" w:color="auto" w:sz="4" w:space="0"/>
              <w:bottom w:val="single" w:color="auto" w:sz="4" w:space="0"/>
              <w:right w:val="single" w:color="auto" w:sz="4" w:space="0"/>
            </w:tcBorders>
          </w:tcPr>
          <w:p w14:paraId="0EEDFB9D">
            <w:pPr>
              <w:autoSpaceDE w:val="0"/>
              <w:spacing w:line="360" w:lineRule="exact"/>
              <w:jc w:val="center"/>
              <w:rPr>
                <w:rFonts w:ascii="宋体" w:hAnsi="宋体"/>
                <w:sz w:val="18"/>
                <w:szCs w:val="18"/>
              </w:rPr>
            </w:pPr>
            <w:r>
              <w:rPr>
                <w:rFonts w:hint="eastAsia" w:ascii="宋体" w:hAnsi="宋体"/>
                <w:sz w:val="18"/>
                <w:szCs w:val="18"/>
              </w:rPr>
              <w:t>10</w:t>
            </w:r>
          </w:p>
        </w:tc>
        <w:tc>
          <w:tcPr>
            <w:tcW w:w="819" w:type="dxa"/>
            <w:tcBorders>
              <w:top w:val="single" w:color="auto" w:sz="4" w:space="0"/>
              <w:left w:val="single" w:color="auto" w:sz="4" w:space="0"/>
              <w:bottom w:val="single" w:color="auto" w:sz="4" w:space="0"/>
              <w:right w:val="single" w:color="auto" w:sz="4" w:space="0"/>
            </w:tcBorders>
          </w:tcPr>
          <w:p w14:paraId="286BE7A1">
            <w:pPr>
              <w:autoSpaceDE w:val="0"/>
              <w:spacing w:line="360" w:lineRule="exact"/>
              <w:jc w:val="center"/>
              <w:rPr>
                <w:rFonts w:ascii="宋体" w:hAnsi="宋体"/>
                <w:sz w:val="18"/>
                <w:szCs w:val="18"/>
              </w:rPr>
            </w:pPr>
            <w:r>
              <w:rPr>
                <w:rFonts w:hint="eastAsia" w:ascii="宋体" w:hAnsi="宋体"/>
                <w:sz w:val="18"/>
                <w:szCs w:val="18"/>
              </w:rPr>
              <w:t>6</w:t>
            </w:r>
          </w:p>
        </w:tc>
        <w:tc>
          <w:tcPr>
            <w:tcW w:w="819" w:type="dxa"/>
            <w:tcBorders>
              <w:top w:val="single" w:color="auto" w:sz="4" w:space="0"/>
              <w:left w:val="single" w:color="auto" w:sz="4" w:space="0"/>
              <w:bottom w:val="single" w:color="auto" w:sz="4" w:space="0"/>
              <w:right w:val="single" w:color="auto" w:sz="4" w:space="0"/>
            </w:tcBorders>
          </w:tcPr>
          <w:p w14:paraId="1221DECC">
            <w:pPr>
              <w:autoSpaceDE w:val="0"/>
              <w:spacing w:line="360" w:lineRule="exact"/>
              <w:ind w:firstLine="283" w:firstLineChars="150"/>
              <w:jc w:val="left"/>
              <w:rPr>
                <w:rFonts w:ascii="宋体" w:hAnsi="宋体"/>
                <w:sz w:val="18"/>
                <w:szCs w:val="18"/>
              </w:rPr>
            </w:pPr>
            <w:r>
              <w:rPr>
                <w:rFonts w:hint="eastAsia" w:ascii="宋体" w:hAnsi="宋体"/>
                <w:sz w:val="18"/>
                <w:szCs w:val="18"/>
              </w:rPr>
              <w:t>8</w:t>
            </w:r>
          </w:p>
        </w:tc>
        <w:tc>
          <w:tcPr>
            <w:tcW w:w="702" w:type="dxa"/>
            <w:tcBorders>
              <w:top w:val="single" w:color="auto" w:sz="4" w:space="0"/>
              <w:left w:val="single" w:color="auto" w:sz="4" w:space="0"/>
              <w:bottom w:val="single" w:color="auto" w:sz="4" w:space="0"/>
              <w:right w:val="single" w:color="auto" w:sz="4" w:space="0"/>
            </w:tcBorders>
          </w:tcPr>
          <w:p w14:paraId="32CD4906">
            <w:pPr>
              <w:autoSpaceDE w:val="0"/>
              <w:spacing w:line="360" w:lineRule="exact"/>
              <w:jc w:val="center"/>
              <w:rPr>
                <w:rFonts w:ascii="宋体" w:hAnsi="宋体"/>
                <w:sz w:val="18"/>
                <w:szCs w:val="18"/>
              </w:rPr>
            </w:pPr>
            <w:r>
              <w:rPr>
                <w:rFonts w:hint="eastAsia" w:ascii="宋体" w:hAnsi="宋体"/>
                <w:sz w:val="18"/>
                <w:szCs w:val="18"/>
              </w:rPr>
              <w:t>5</w:t>
            </w:r>
          </w:p>
        </w:tc>
        <w:tc>
          <w:tcPr>
            <w:tcW w:w="995" w:type="dxa"/>
            <w:tcBorders>
              <w:top w:val="single" w:color="auto" w:sz="4" w:space="0"/>
              <w:left w:val="single" w:color="auto" w:sz="4" w:space="0"/>
              <w:bottom w:val="single" w:color="auto" w:sz="4" w:space="0"/>
              <w:right w:val="single" w:color="auto" w:sz="4" w:space="0"/>
            </w:tcBorders>
          </w:tcPr>
          <w:p w14:paraId="178A18E4">
            <w:pPr>
              <w:autoSpaceDE w:val="0"/>
              <w:spacing w:line="360" w:lineRule="exact"/>
              <w:jc w:val="center"/>
              <w:rPr>
                <w:rFonts w:ascii="宋体" w:hAnsi="宋体"/>
                <w:sz w:val="18"/>
                <w:szCs w:val="18"/>
              </w:rPr>
            </w:pPr>
            <w:r>
              <w:rPr>
                <w:rFonts w:hint="eastAsia" w:ascii="宋体" w:hAnsi="宋体"/>
                <w:sz w:val="18"/>
                <w:szCs w:val="18"/>
              </w:rPr>
              <w:t>5</w:t>
            </w:r>
          </w:p>
        </w:tc>
        <w:tc>
          <w:tcPr>
            <w:tcW w:w="1161" w:type="dxa"/>
            <w:tcBorders>
              <w:top w:val="single" w:color="auto" w:sz="4" w:space="0"/>
              <w:left w:val="single" w:color="auto" w:sz="4" w:space="0"/>
              <w:bottom w:val="single" w:color="auto" w:sz="4" w:space="0"/>
              <w:right w:val="single" w:color="auto" w:sz="4" w:space="0"/>
            </w:tcBorders>
          </w:tcPr>
          <w:p w14:paraId="605861F6">
            <w:pPr>
              <w:autoSpaceDE w:val="0"/>
              <w:spacing w:line="360" w:lineRule="exact"/>
              <w:jc w:val="center"/>
              <w:rPr>
                <w:rFonts w:ascii="宋体" w:hAnsi="宋体"/>
                <w:sz w:val="18"/>
                <w:szCs w:val="18"/>
              </w:rPr>
            </w:pPr>
            <w:r>
              <w:rPr>
                <w:rFonts w:hint="eastAsia" w:ascii="宋体" w:hAnsi="宋体"/>
                <w:sz w:val="18"/>
                <w:szCs w:val="18"/>
              </w:rPr>
              <w:t>8</w:t>
            </w:r>
          </w:p>
        </w:tc>
        <w:tc>
          <w:tcPr>
            <w:tcW w:w="990" w:type="dxa"/>
            <w:tcBorders>
              <w:top w:val="single" w:color="auto" w:sz="4" w:space="0"/>
              <w:left w:val="single" w:color="auto" w:sz="4" w:space="0"/>
              <w:bottom w:val="single" w:color="auto" w:sz="4" w:space="0"/>
              <w:right w:val="single" w:color="auto" w:sz="4" w:space="0"/>
            </w:tcBorders>
          </w:tcPr>
          <w:p w14:paraId="08919ACF">
            <w:pPr>
              <w:autoSpaceDE w:val="0"/>
              <w:spacing w:line="360" w:lineRule="exact"/>
              <w:jc w:val="center"/>
              <w:rPr>
                <w:rFonts w:ascii="宋体" w:hAnsi="宋体"/>
                <w:sz w:val="18"/>
                <w:szCs w:val="18"/>
              </w:rPr>
            </w:pPr>
            <w:r>
              <w:rPr>
                <w:rFonts w:hint="eastAsia" w:ascii="宋体" w:hAnsi="宋体"/>
                <w:sz w:val="18"/>
                <w:szCs w:val="18"/>
              </w:rPr>
              <w:t>10</w:t>
            </w:r>
          </w:p>
        </w:tc>
        <w:tc>
          <w:tcPr>
            <w:tcW w:w="730" w:type="dxa"/>
            <w:tcBorders>
              <w:top w:val="single" w:color="auto" w:sz="4" w:space="0"/>
              <w:left w:val="single" w:color="auto" w:sz="4" w:space="0"/>
              <w:bottom w:val="single" w:color="auto" w:sz="4" w:space="0"/>
              <w:right w:val="single" w:color="auto" w:sz="4" w:space="0"/>
            </w:tcBorders>
          </w:tcPr>
          <w:p w14:paraId="325F92E2">
            <w:pPr>
              <w:autoSpaceDE w:val="0"/>
              <w:spacing w:line="360" w:lineRule="exact"/>
              <w:jc w:val="center"/>
              <w:rPr>
                <w:rFonts w:ascii="宋体" w:hAnsi="宋体"/>
                <w:sz w:val="18"/>
                <w:szCs w:val="18"/>
              </w:rPr>
            </w:pPr>
            <w:r>
              <w:rPr>
                <w:rFonts w:hint="eastAsia" w:ascii="宋体" w:hAnsi="宋体"/>
                <w:sz w:val="18"/>
                <w:szCs w:val="18"/>
              </w:rPr>
              <w:t>42.9</w:t>
            </w:r>
          </w:p>
        </w:tc>
        <w:tc>
          <w:tcPr>
            <w:tcW w:w="720" w:type="dxa"/>
            <w:tcBorders>
              <w:top w:val="single" w:color="auto" w:sz="4" w:space="0"/>
              <w:left w:val="single" w:color="auto" w:sz="4" w:space="0"/>
              <w:bottom w:val="single" w:color="auto" w:sz="4" w:space="0"/>
              <w:right w:val="single" w:color="auto" w:sz="4" w:space="0"/>
            </w:tcBorders>
          </w:tcPr>
          <w:p w14:paraId="5BBC7C7C">
            <w:pPr>
              <w:autoSpaceDE w:val="0"/>
              <w:spacing w:line="360" w:lineRule="exact"/>
              <w:jc w:val="center"/>
              <w:rPr>
                <w:rFonts w:ascii="宋体" w:hAnsi="宋体"/>
                <w:sz w:val="18"/>
                <w:szCs w:val="18"/>
              </w:rPr>
            </w:pPr>
            <w:r>
              <w:rPr>
                <w:rFonts w:hint="eastAsia" w:ascii="宋体" w:hAnsi="宋体"/>
                <w:sz w:val="18"/>
                <w:szCs w:val="18"/>
              </w:rPr>
              <w:t>34.5</w:t>
            </w:r>
          </w:p>
        </w:tc>
      </w:tr>
      <w:tr w14:paraId="1996F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tcBorders>
              <w:top w:val="single" w:color="auto" w:sz="4" w:space="0"/>
              <w:left w:val="single" w:color="auto" w:sz="4" w:space="0"/>
              <w:bottom w:val="single" w:color="auto" w:sz="4" w:space="0"/>
              <w:right w:val="single" w:color="auto" w:sz="4" w:space="0"/>
            </w:tcBorders>
            <w:vAlign w:val="center"/>
          </w:tcPr>
          <w:p w14:paraId="7E0C2078">
            <w:pPr>
              <w:autoSpaceDE w:val="0"/>
              <w:spacing w:line="360" w:lineRule="exact"/>
              <w:jc w:val="center"/>
              <w:rPr>
                <w:rFonts w:ascii="宋体" w:hAnsi="宋体"/>
                <w:sz w:val="18"/>
                <w:szCs w:val="18"/>
              </w:rPr>
            </w:pPr>
            <w:r>
              <w:rPr>
                <w:rFonts w:hint="eastAsia" w:ascii="宋体" w:hAnsi="宋体"/>
                <w:sz w:val="18"/>
                <w:szCs w:val="18"/>
              </w:rPr>
              <w:t>5</w:t>
            </w:r>
          </w:p>
        </w:tc>
        <w:tc>
          <w:tcPr>
            <w:tcW w:w="804" w:type="dxa"/>
            <w:tcBorders>
              <w:top w:val="single" w:color="auto" w:sz="4" w:space="0"/>
              <w:left w:val="single" w:color="auto" w:sz="4" w:space="0"/>
              <w:bottom w:val="single" w:color="auto" w:sz="4" w:space="0"/>
              <w:right w:val="single" w:color="auto" w:sz="4" w:space="0"/>
            </w:tcBorders>
          </w:tcPr>
          <w:p w14:paraId="75229B93">
            <w:pPr>
              <w:autoSpaceDE w:val="0"/>
              <w:spacing w:line="360" w:lineRule="exact"/>
              <w:jc w:val="center"/>
              <w:rPr>
                <w:rFonts w:ascii="宋体" w:hAnsi="宋体"/>
                <w:sz w:val="18"/>
                <w:szCs w:val="18"/>
              </w:rPr>
            </w:pPr>
            <w:r>
              <w:rPr>
                <w:rFonts w:hint="eastAsia" w:ascii="宋体" w:hAnsi="宋体"/>
                <w:sz w:val="18"/>
                <w:szCs w:val="18"/>
              </w:rPr>
              <w:t>15000</w:t>
            </w:r>
          </w:p>
        </w:tc>
        <w:tc>
          <w:tcPr>
            <w:tcW w:w="745" w:type="dxa"/>
            <w:tcBorders>
              <w:top w:val="single" w:color="auto" w:sz="4" w:space="0"/>
              <w:left w:val="single" w:color="auto" w:sz="4" w:space="0"/>
              <w:bottom w:val="single" w:color="auto" w:sz="4" w:space="0"/>
              <w:right w:val="single" w:color="auto" w:sz="4" w:space="0"/>
            </w:tcBorders>
          </w:tcPr>
          <w:p w14:paraId="0ABF6553">
            <w:pPr>
              <w:autoSpaceDE w:val="0"/>
              <w:spacing w:line="360" w:lineRule="exact"/>
              <w:jc w:val="center"/>
              <w:rPr>
                <w:rFonts w:ascii="宋体" w:hAnsi="宋体"/>
                <w:sz w:val="18"/>
                <w:szCs w:val="18"/>
              </w:rPr>
            </w:pPr>
            <w:r>
              <w:rPr>
                <w:rFonts w:hint="eastAsia" w:ascii="宋体" w:hAnsi="宋体"/>
                <w:sz w:val="18"/>
                <w:szCs w:val="18"/>
              </w:rPr>
              <w:t>6500</w:t>
            </w:r>
          </w:p>
        </w:tc>
        <w:tc>
          <w:tcPr>
            <w:tcW w:w="819" w:type="dxa"/>
            <w:tcBorders>
              <w:top w:val="single" w:color="auto" w:sz="4" w:space="0"/>
              <w:left w:val="single" w:color="auto" w:sz="4" w:space="0"/>
              <w:bottom w:val="single" w:color="auto" w:sz="4" w:space="0"/>
              <w:right w:val="single" w:color="auto" w:sz="4" w:space="0"/>
            </w:tcBorders>
          </w:tcPr>
          <w:p w14:paraId="279D56BB">
            <w:pPr>
              <w:autoSpaceDE w:val="0"/>
              <w:spacing w:line="360" w:lineRule="exact"/>
              <w:jc w:val="center"/>
              <w:rPr>
                <w:rFonts w:ascii="宋体" w:hAnsi="宋体"/>
                <w:sz w:val="18"/>
                <w:szCs w:val="18"/>
              </w:rPr>
            </w:pPr>
            <w:r>
              <w:rPr>
                <w:rFonts w:hint="eastAsia" w:ascii="宋体" w:hAnsi="宋体"/>
                <w:sz w:val="18"/>
                <w:szCs w:val="18"/>
              </w:rPr>
              <w:t>13</w:t>
            </w:r>
          </w:p>
        </w:tc>
        <w:tc>
          <w:tcPr>
            <w:tcW w:w="819" w:type="dxa"/>
            <w:tcBorders>
              <w:top w:val="single" w:color="auto" w:sz="4" w:space="0"/>
              <w:left w:val="single" w:color="auto" w:sz="4" w:space="0"/>
              <w:bottom w:val="single" w:color="auto" w:sz="4" w:space="0"/>
              <w:right w:val="single" w:color="auto" w:sz="4" w:space="0"/>
            </w:tcBorders>
          </w:tcPr>
          <w:p w14:paraId="0477D820">
            <w:pPr>
              <w:autoSpaceDE w:val="0"/>
              <w:spacing w:line="360" w:lineRule="exact"/>
              <w:jc w:val="center"/>
              <w:rPr>
                <w:rFonts w:ascii="宋体" w:hAnsi="宋体"/>
                <w:sz w:val="18"/>
                <w:szCs w:val="18"/>
              </w:rPr>
            </w:pPr>
            <w:r>
              <w:rPr>
                <w:rFonts w:hint="eastAsia" w:ascii="宋体" w:hAnsi="宋体"/>
                <w:sz w:val="18"/>
                <w:szCs w:val="18"/>
              </w:rPr>
              <w:t>6</w:t>
            </w:r>
          </w:p>
        </w:tc>
        <w:tc>
          <w:tcPr>
            <w:tcW w:w="819" w:type="dxa"/>
            <w:tcBorders>
              <w:top w:val="single" w:color="auto" w:sz="4" w:space="0"/>
              <w:left w:val="single" w:color="auto" w:sz="4" w:space="0"/>
              <w:bottom w:val="single" w:color="auto" w:sz="4" w:space="0"/>
              <w:right w:val="single" w:color="auto" w:sz="4" w:space="0"/>
            </w:tcBorders>
          </w:tcPr>
          <w:p w14:paraId="6C7FAF79">
            <w:pPr>
              <w:autoSpaceDE w:val="0"/>
              <w:spacing w:line="360" w:lineRule="exact"/>
              <w:jc w:val="center"/>
              <w:rPr>
                <w:rFonts w:ascii="宋体" w:hAnsi="宋体"/>
                <w:sz w:val="18"/>
                <w:szCs w:val="18"/>
              </w:rPr>
            </w:pPr>
            <w:r>
              <w:rPr>
                <w:rFonts w:hint="eastAsia" w:ascii="宋体" w:hAnsi="宋体"/>
                <w:sz w:val="18"/>
                <w:szCs w:val="18"/>
              </w:rPr>
              <w:t>9</w:t>
            </w:r>
          </w:p>
        </w:tc>
        <w:tc>
          <w:tcPr>
            <w:tcW w:w="702" w:type="dxa"/>
            <w:tcBorders>
              <w:top w:val="single" w:color="auto" w:sz="4" w:space="0"/>
              <w:left w:val="single" w:color="auto" w:sz="4" w:space="0"/>
              <w:bottom w:val="single" w:color="auto" w:sz="4" w:space="0"/>
              <w:right w:val="single" w:color="auto" w:sz="4" w:space="0"/>
            </w:tcBorders>
          </w:tcPr>
          <w:p w14:paraId="143D98AF">
            <w:pPr>
              <w:autoSpaceDE w:val="0"/>
              <w:spacing w:line="360" w:lineRule="exact"/>
              <w:jc w:val="center"/>
              <w:rPr>
                <w:rFonts w:ascii="宋体" w:hAnsi="宋体"/>
                <w:sz w:val="18"/>
                <w:szCs w:val="18"/>
              </w:rPr>
            </w:pPr>
            <w:r>
              <w:rPr>
                <w:rFonts w:hint="eastAsia" w:ascii="宋体" w:hAnsi="宋体"/>
                <w:sz w:val="18"/>
                <w:szCs w:val="18"/>
              </w:rPr>
              <w:t>6</w:t>
            </w:r>
          </w:p>
        </w:tc>
        <w:tc>
          <w:tcPr>
            <w:tcW w:w="995" w:type="dxa"/>
            <w:tcBorders>
              <w:top w:val="single" w:color="auto" w:sz="4" w:space="0"/>
              <w:left w:val="single" w:color="auto" w:sz="4" w:space="0"/>
              <w:bottom w:val="single" w:color="auto" w:sz="4" w:space="0"/>
              <w:right w:val="single" w:color="auto" w:sz="4" w:space="0"/>
            </w:tcBorders>
          </w:tcPr>
          <w:p w14:paraId="4869861D">
            <w:pPr>
              <w:autoSpaceDE w:val="0"/>
              <w:spacing w:line="360" w:lineRule="exact"/>
              <w:jc w:val="center"/>
              <w:rPr>
                <w:rFonts w:ascii="宋体" w:hAnsi="宋体"/>
                <w:sz w:val="18"/>
                <w:szCs w:val="18"/>
              </w:rPr>
            </w:pPr>
            <w:r>
              <w:rPr>
                <w:rFonts w:hint="eastAsia" w:ascii="宋体" w:hAnsi="宋体"/>
                <w:sz w:val="18"/>
                <w:szCs w:val="18"/>
              </w:rPr>
              <w:t>6</w:t>
            </w:r>
          </w:p>
        </w:tc>
        <w:tc>
          <w:tcPr>
            <w:tcW w:w="1161" w:type="dxa"/>
            <w:tcBorders>
              <w:top w:val="single" w:color="auto" w:sz="4" w:space="0"/>
              <w:left w:val="single" w:color="auto" w:sz="4" w:space="0"/>
              <w:bottom w:val="single" w:color="auto" w:sz="4" w:space="0"/>
              <w:right w:val="single" w:color="auto" w:sz="4" w:space="0"/>
            </w:tcBorders>
          </w:tcPr>
          <w:p w14:paraId="1458DD54">
            <w:pPr>
              <w:autoSpaceDE w:val="0"/>
              <w:spacing w:line="360" w:lineRule="exact"/>
              <w:jc w:val="center"/>
              <w:rPr>
                <w:rFonts w:ascii="宋体" w:hAnsi="宋体"/>
                <w:sz w:val="18"/>
                <w:szCs w:val="18"/>
              </w:rPr>
            </w:pPr>
            <w:r>
              <w:rPr>
                <w:rFonts w:hint="eastAsia" w:ascii="宋体" w:hAnsi="宋体"/>
                <w:sz w:val="18"/>
                <w:szCs w:val="18"/>
              </w:rPr>
              <w:t>10</w:t>
            </w:r>
          </w:p>
        </w:tc>
        <w:tc>
          <w:tcPr>
            <w:tcW w:w="990" w:type="dxa"/>
            <w:tcBorders>
              <w:top w:val="single" w:color="auto" w:sz="4" w:space="0"/>
              <w:left w:val="single" w:color="auto" w:sz="4" w:space="0"/>
              <w:bottom w:val="single" w:color="auto" w:sz="4" w:space="0"/>
              <w:right w:val="single" w:color="auto" w:sz="4" w:space="0"/>
            </w:tcBorders>
          </w:tcPr>
          <w:p w14:paraId="19CCAA8E">
            <w:pPr>
              <w:autoSpaceDE w:val="0"/>
              <w:spacing w:line="360" w:lineRule="exact"/>
              <w:jc w:val="center"/>
              <w:rPr>
                <w:rFonts w:ascii="宋体" w:hAnsi="宋体"/>
                <w:sz w:val="18"/>
                <w:szCs w:val="18"/>
              </w:rPr>
            </w:pPr>
            <w:r>
              <w:rPr>
                <w:rFonts w:hint="eastAsia" w:ascii="宋体" w:hAnsi="宋体"/>
                <w:sz w:val="18"/>
                <w:szCs w:val="18"/>
              </w:rPr>
              <w:t>12</w:t>
            </w:r>
          </w:p>
        </w:tc>
        <w:tc>
          <w:tcPr>
            <w:tcW w:w="730" w:type="dxa"/>
            <w:tcBorders>
              <w:top w:val="single" w:color="auto" w:sz="4" w:space="0"/>
              <w:left w:val="single" w:color="auto" w:sz="4" w:space="0"/>
              <w:bottom w:val="single" w:color="auto" w:sz="4" w:space="0"/>
              <w:right w:val="single" w:color="auto" w:sz="4" w:space="0"/>
            </w:tcBorders>
          </w:tcPr>
          <w:p w14:paraId="5CD7A6EE">
            <w:pPr>
              <w:autoSpaceDE w:val="0"/>
              <w:spacing w:line="360" w:lineRule="exact"/>
              <w:jc w:val="center"/>
              <w:rPr>
                <w:rFonts w:ascii="宋体" w:hAnsi="宋体"/>
                <w:sz w:val="18"/>
                <w:szCs w:val="18"/>
              </w:rPr>
            </w:pPr>
            <w:r>
              <w:rPr>
                <w:rFonts w:hint="eastAsia" w:ascii="宋体" w:hAnsi="宋体"/>
                <w:sz w:val="18"/>
                <w:szCs w:val="18"/>
              </w:rPr>
              <w:t>40.9</w:t>
            </w:r>
          </w:p>
        </w:tc>
        <w:tc>
          <w:tcPr>
            <w:tcW w:w="720" w:type="dxa"/>
            <w:tcBorders>
              <w:top w:val="single" w:color="auto" w:sz="4" w:space="0"/>
              <w:left w:val="single" w:color="auto" w:sz="4" w:space="0"/>
              <w:bottom w:val="single" w:color="auto" w:sz="4" w:space="0"/>
              <w:right w:val="single" w:color="auto" w:sz="4" w:space="0"/>
            </w:tcBorders>
          </w:tcPr>
          <w:p w14:paraId="7DBFF290">
            <w:pPr>
              <w:autoSpaceDE w:val="0"/>
              <w:spacing w:line="360" w:lineRule="exact"/>
              <w:jc w:val="center"/>
              <w:rPr>
                <w:rFonts w:ascii="宋体" w:hAnsi="宋体"/>
                <w:sz w:val="18"/>
                <w:szCs w:val="18"/>
              </w:rPr>
            </w:pPr>
            <w:r>
              <w:rPr>
                <w:rFonts w:hint="eastAsia" w:ascii="宋体" w:hAnsi="宋体"/>
                <w:sz w:val="18"/>
                <w:szCs w:val="18"/>
              </w:rPr>
              <w:t>31.8</w:t>
            </w:r>
          </w:p>
        </w:tc>
      </w:tr>
      <w:tr w14:paraId="3C656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dxa"/>
            <w:tcBorders>
              <w:top w:val="single" w:color="auto" w:sz="4" w:space="0"/>
              <w:left w:val="single" w:color="auto" w:sz="4" w:space="0"/>
              <w:bottom w:val="single" w:color="auto" w:sz="4" w:space="0"/>
              <w:right w:val="single" w:color="auto" w:sz="4" w:space="0"/>
            </w:tcBorders>
            <w:vAlign w:val="center"/>
          </w:tcPr>
          <w:p w14:paraId="68BA3A53">
            <w:pPr>
              <w:autoSpaceDE w:val="0"/>
              <w:spacing w:line="360" w:lineRule="exact"/>
              <w:jc w:val="center"/>
              <w:rPr>
                <w:rFonts w:ascii="宋体" w:hAnsi="宋体"/>
                <w:sz w:val="18"/>
                <w:szCs w:val="18"/>
              </w:rPr>
            </w:pPr>
            <w:r>
              <w:rPr>
                <w:rFonts w:hint="eastAsia" w:ascii="宋体" w:hAnsi="宋体"/>
                <w:sz w:val="18"/>
                <w:szCs w:val="18"/>
              </w:rPr>
              <w:t>6</w:t>
            </w:r>
          </w:p>
        </w:tc>
        <w:tc>
          <w:tcPr>
            <w:tcW w:w="804" w:type="dxa"/>
            <w:tcBorders>
              <w:top w:val="single" w:color="auto" w:sz="4" w:space="0"/>
              <w:left w:val="single" w:color="auto" w:sz="4" w:space="0"/>
              <w:bottom w:val="single" w:color="auto" w:sz="4" w:space="0"/>
              <w:right w:val="single" w:color="auto" w:sz="4" w:space="0"/>
            </w:tcBorders>
          </w:tcPr>
          <w:p w14:paraId="6896EA69">
            <w:pPr>
              <w:autoSpaceDE w:val="0"/>
              <w:spacing w:line="360" w:lineRule="exact"/>
              <w:jc w:val="center"/>
              <w:rPr>
                <w:rFonts w:ascii="宋体" w:hAnsi="宋体"/>
                <w:sz w:val="18"/>
                <w:szCs w:val="18"/>
              </w:rPr>
            </w:pPr>
            <w:r>
              <w:rPr>
                <w:rFonts w:hint="eastAsia" w:ascii="宋体" w:hAnsi="宋体"/>
                <w:sz w:val="18"/>
                <w:szCs w:val="18"/>
              </w:rPr>
              <w:t>20000</w:t>
            </w:r>
          </w:p>
        </w:tc>
        <w:tc>
          <w:tcPr>
            <w:tcW w:w="745" w:type="dxa"/>
            <w:tcBorders>
              <w:top w:val="single" w:color="auto" w:sz="4" w:space="0"/>
              <w:left w:val="single" w:color="auto" w:sz="4" w:space="0"/>
              <w:bottom w:val="single" w:color="auto" w:sz="4" w:space="0"/>
              <w:right w:val="single" w:color="auto" w:sz="4" w:space="0"/>
            </w:tcBorders>
          </w:tcPr>
          <w:p w14:paraId="335F570B">
            <w:pPr>
              <w:autoSpaceDE w:val="0"/>
              <w:spacing w:line="360" w:lineRule="exact"/>
              <w:jc w:val="center"/>
              <w:rPr>
                <w:rFonts w:ascii="宋体" w:hAnsi="宋体"/>
                <w:sz w:val="18"/>
                <w:szCs w:val="18"/>
              </w:rPr>
            </w:pPr>
            <w:r>
              <w:rPr>
                <w:rFonts w:hint="eastAsia" w:ascii="宋体" w:hAnsi="宋体"/>
                <w:sz w:val="18"/>
                <w:szCs w:val="18"/>
              </w:rPr>
              <w:t>9500</w:t>
            </w:r>
          </w:p>
        </w:tc>
        <w:tc>
          <w:tcPr>
            <w:tcW w:w="819" w:type="dxa"/>
            <w:tcBorders>
              <w:top w:val="single" w:color="auto" w:sz="4" w:space="0"/>
              <w:left w:val="single" w:color="auto" w:sz="4" w:space="0"/>
              <w:bottom w:val="single" w:color="auto" w:sz="4" w:space="0"/>
              <w:right w:val="single" w:color="auto" w:sz="4" w:space="0"/>
            </w:tcBorders>
          </w:tcPr>
          <w:p w14:paraId="7A006D6F">
            <w:pPr>
              <w:autoSpaceDE w:val="0"/>
              <w:spacing w:line="360" w:lineRule="exact"/>
              <w:jc w:val="center"/>
              <w:rPr>
                <w:rFonts w:ascii="宋体" w:hAnsi="宋体"/>
                <w:sz w:val="18"/>
                <w:szCs w:val="18"/>
              </w:rPr>
            </w:pPr>
            <w:r>
              <w:rPr>
                <w:rFonts w:hint="eastAsia" w:ascii="宋体" w:hAnsi="宋体"/>
                <w:sz w:val="18"/>
                <w:szCs w:val="18"/>
              </w:rPr>
              <w:t>17</w:t>
            </w:r>
          </w:p>
        </w:tc>
        <w:tc>
          <w:tcPr>
            <w:tcW w:w="819" w:type="dxa"/>
            <w:tcBorders>
              <w:top w:val="single" w:color="auto" w:sz="4" w:space="0"/>
              <w:left w:val="single" w:color="auto" w:sz="4" w:space="0"/>
              <w:bottom w:val="single" w:color="auto" w:sz="4" w:space="0"/>
              <w:right w:val="single" w:color="auto" w:sz="4" w:space="0"/>
            </w:tcBorders>
          </w:tcPr>
          <w:p w14:paraId="62354413">
            <w:pPr>
              <w:autoSpaceDE w:val="0"/>
              <w:spacing w:line="360" w:lineRule="exact"/>
              <w:jc w:val="center"/>
              <w:rPr>
                <w:rFonts w:ascii="宋体" w:hAnsi="宋体"/>
                <w:sz w:val="18"/>
                <w:szCs w:val="18"/>
              </w:rPr>
            </w:pPr>
            <w:r>
              <w:rPr>
                <w:rFonts w:hint="eastAsia" w:ascii="宋体" w:hAnsi="宋体"/>
                <w:sz w:val="18"/>
                <w:szCs w:val="18"/>
              </w:rPr>
              <w:t>8</w:t>
            </w:r>
          </w:p>
        </w:tc>
        <w:tc>
          <w:tcPr>
            <w:tcW w:w="819" w:type="dxa"/>
            <w:tcBorders>
              <w:top w:val="single" w:color="auto" w:sz="4" w:space="0"/>
              <w:left w:val="single" w:color="auto" w:sz="4" w:space="0"/>
              <w:bottom w:val="single" w:color="auto" w:sz="4" w:space="0"/>
              <w:right w:val="single" w:color="auto" w:sz="4" w:space="0"/>
            </w:tcBorders>
          </w:tcPr>
          <w:p w14:paraId="7D115BCE">
            <w:pPr>
              <w:autoSpaceDE w:val="0"/>
              <w:spacing w:line="360" w:lineRule="exact"/>
              <w:jc w:val="center"/>
              <w:rPr>
                <w:rFonts w:ascii="宋体" w:hAnsi="宋体"/>
                <w:sz w:val="18"/>
                <w:szCs w:val="18"/>
              </w:rPr>
            </w:pPr>
            <w:r>
              <w:rPr>
                <w:rFonts w:hint="eastAsia" w:ascii="宋体" w:hAnsi="宋体"/>
                <w:sz w:val="18"/>
                <w:szCs w:val="18"/>
              </w:rPr>
              <w:t>14</w:t>
            </w:r>
          </w:p>
        </w:tc>
        <w:tc>
          <w:tcPr>
            <w:tcW w:w="702" w:type="dxa"/>
            <w:tcBorders>
              <w:top w:val="single" w:color="auto" w:sz="4" w:space="0"/>
              <w:left w:val="single" w:color="auto" w:sz="4" w:space="0"/>
              <w:bottom w:val="single" w:color="auto" w:sz="4" w:space="0"/>
              <w:right w:val="single" w:color="auto" w:sz="4" w:space="0"/>
            </w:tcBorders>
          </w:tcPr>
          <w:p w14:paraId="35E1873C">
            <w:pPr>
              <w:autoSpaceDE w:val="0"/>
              <w:spacing w:line="360" w:lineRule="exact"/>
              <w:jc w:val="center"/>
              <w:rPr>
                <w:rFonts w:ascii="宋体" w:hAnsi="宋体"/>
                <w:sz w:val="18"/>
                <w:szCs w:val="18"/>
              </w:rPr>
            </w:pPr>
            <w:r>
              <w:rPr>
                <w:rFonts w:hint="eastAsia" w:ascii="宋体" w:hAnsi="宋体"/>
                <w:sz w:val="18"/>
                <w:szCs w:val="18"/>
              </w:rPr>
              <w:t>7</w:t>
            </w:r>
          </w:p>
        </w:tc>
        <w:tc>
          <w:tcPr>
            <w:tcW w:w="995" w:type="dxa"/>
            <w:tcBorders>
              <w:top w:val="single" w:color="auto" w:sz="4" w:space="0"/>
              <w:left w:val="single" w:color="auto" w:sz="4" w:space="0"/>
              <w:bottom w:val="single" w:color="auto" w:sz="4" w:space="0"/>
              <w:right w:val="single" w:color="auto" w:sz="4" w:space="0"/>
            </w:tcBorders>
          </w:tcPr>
          <w:p w14:paraId="50A636F5">
            <w:pPr>
              <w:autoSpaceDE w:val="0"/>
              <w:spacing w:line="360" w:lineRule="exact"/>
              <w:jc w:val="center"/>
              <w:rPr>
                <w:rFonts w:ascii="宋体" w:hAnsi="宋体"/>
                <w:sz w:val="18"/>
                <w:szCs w:val="18"/>
              </w:rPr>
            </w:pPr>
            <w:r>
              <w:rPr>
                <w:rFonts w:hint="eastAsia" w:ascii="宋体" w:hAnsi="宋体"/>
                <w:sz w:val="18"/>
                <w:szCs w:val="18"/>
              </w:rPr>
              <w:t>8</w:t>
            </w:r>
          </w:p>
        </w:tc>
        <w:tc>
          <w:tcPr>
            <w:tcW w:w="1161" w:type="dxa"/>
            <w:tcBorders>
              <w:top w:val="single" w:color="auto" w:sz="4" w:space="0"/>
              <w:left w:val="single" w:color="auto" w:sz="4" w:space="0"/>
              <w:bottom w:val="single" w:color="auto" w:sz="4" w:space="0"/>
              <w:right w:val="single" w:color="auto" w:sz="4" w:space="0"/>
            </w:tcBorders>
          </w:tcPr>
          <w:p w14:paraId="0CA874A1">
            <w:pPr>
              <w:autoSpaceDE w:val="0"/>
              <w:spacing w:line="360" w:lineRule="exact"/>
              <w:jc w:val="center"/>
              <w:rPr>
                <w:rFonts w:ascii="宋体" w:hAnsi="宋体"/>
                <w:sz w:val="18"/>
                <w:szCs w:val="18"/>
              </w:rPr>
            </w:pPr>
            <w:r>
              <w:rPr>
                <w:rFonts w:hint="eastAsia" w:ascii="宋体" w:hAnsi="宋体"/>
                <w:sz w:val="18"/>
                <w:szCs w:val="18"/>
              </w:rPr>
              <w:t>15</w:t>
            </w:r>
          </w:p>
        </w:tc>
        <w:tc>
          <w:tcPr>
            <w:tcW w:w="990" w:type="dxa"/>
            <w:tcBorders>
              <w:top w:val="single" w:color="auto" w:sz="4" w:space="0"/>
              <w:left w:val="single" w:color="auto" w:sz="4" w:space="0"/>
              <w:bottom w:val="single" w:color="auto" w:sz="4" w:space="0"/>
              <w:right w:val="single" w:color="auto" w:sz="4" w:space="0"/>
            </w:tcBorders>
          </w:tcPr>
          <w:p w14:paraId="1115C56E">
            <w:pPr>
              <w:autoSpaceDE w:val="0"/>
              <w:spacing w:line="360" w:lineRule="exact"/>
              <w:jc w:val="center"/>
              <w:rPr>
                <w:rFonts w:ascii="宋体" w:hAnsi="宋体"/>
                <w:sz w:val="18"/>
                <w:szCs w:val="18"/>
              </w:rPr>
            </w:pPr>
            <w:r>
              <w:rPr>
                <w:rFonts w:hint="eastAsia" w:ascii="宋体" w:hAnsi="宋体"/>
                <w:sz w:val="18"/>
                <w:szCs w:val="18"/>
              </w:rPr>
              <w:t>13</w:t>
            </w:r>
          </w:p>
        </w:tc>
        <w:tc>
          <w:tcPr>
            <w:tcW w:w="730" w:type="dxa"/>
            <w:tcBorders>
              <w:top w:val="single" w:color="auto" w:sz="4" w:space="0"/>
              <w:left w:val="single" w:color="auto" w:sz="4" w:space="0"/>
              <w:bottom w:val="single" w:color="auto" w:sz="4" w:space="0"/>
              <w:right w:val="single" w:color="auto" w:sz="4" w:space="0"/>
            </w:tcBorders>
          </w:tcPr>
          <w:p w14:paraId="01F49760">
            <w:pPr>
              <w:autoSpaceDE w:val="0"/>
              <w:spacing w:line="360" w:lineRule="exact"/>
              <w:jc w:val="center"/>
              <w:rPr>
                <w:rFonts w:ascii="宋体" w:hAnsi="宋体"/>
                <w:sz w:val="18"/>
                <w:szCs w:val="18"/>
              </w:rPr>
            </w:pPr>
            <w:r>
              <w:rPr>
                <w:rFonts w:hint="eastAsia" w:ascii="宋体" w:hAnsi="宋体"/>
                <w:sz w:val="18"/>
                <w:szCs w:val="18"/>
              </w:rPr>
              <w:t>41.8</w:t>
            </w:r>
          </w:p>
        </w:tc>
        <w:tc>
          <w:tcPr>
            <w:tcW w:w="720" w:type="dxa"/>
            <w:tcBorders>
              <w:top w:val="single" w:color="auto" w:sz="4" w:space="0"/>
              <w:left w:val="single" w:color="auto" w:sz="4" w:space="0"/>
              <w:bottom w:val="single" w:color="auto" w:sz="4" w:space="0"/>
              <w:right w:val="single" w:color="auto" w:sz="4" w:space="0"/>
            </w:tcBorders>
          </w:tcPr>
          <w:p w14:paraId="668F0721">
            <w:pPr>
              <w:autoSpaceDE w:val="0"/>
              <w:spacing w:line="360" w:lineRule="exact"/>
              <w:jc w:val="center"/>
              <w:rPr>
                <w:rFonts w:ascii="宋体" w:hAnsi="宋体"/>
                <w:sz w:val="18"/>
                <w:szCs w:val="18"/>
              </w:rPr>
            </w:pPr>
            <w:r>
              <w:rPr>
                <w:rFonts w:hint="eastAsia" w:ascii="宋体" w:hAnsi="宋体"/>
                <w:sz w:val="18"/>
                <w:szCs w:val="18"/>
              </w:rPr>
              <w:t>30.7</w:t>
            </w:r>
          </w:p>
        </w:tc>
      </w:tr>
    </w:tbl>
    <w:p w14:paraId="425CD438">
      <w:pPr>
        <w:shd w:val="clear" w:color="auto" w:fill="FFFFFF"/>
        <w:autoSpaceDE w:val="0"/>
        <w:snapToGrid w:val="0"/>
        <w:spacing w:line="360" w:lineRule="exact"/>
        <w:ind w:firstLine="438" w:firstLineChars="200"/>
        <w:rPr>
          <w:rFonts w:ascii="宋体" w:hAnsi="宋体"/>
          <w:spacing w:val="-4"/>
        </w:rPr>
      </w:pPr>
      <w:r>
        <w:rPr>
          <w:rFonts w:hint="eastAsia" w:ascii="宋体" w:hAnsi="宋体"/>
        </w:rPr>
        <w:t>通</w:t>
      </w:r>
      <w:r>
        <w:rPr>
          <w:rFonts w:hint="eastAsia" w:ascii="宋体" w:hAnsi="宋体"/>
          <w:spacing w:val="-4"/>
        </w:rPr>
        <w:t>过对数据的分析，该标准的</w:t>
      </w:r>
      <w:r>
        <w:rPr>
          <w:rFonts w:hint="eastAsia" w:ascii="宋体" w:hAnsi="宋体"/>
        </w:rPr>
        <w:t>水平度、铅锤度和对角线误差、停位误差黑框垂直度、水平及对角线、噪声指标</w:t>
      </w:r>
      <w:r>
        <w:rPr>
          <w:rFonts w:hint="eastAsia" w:ascii="宋体" w:hAnsi="宋体"/>
          <w:spacing w:val="-4"/>
        </w:rPr>
        <w:t>设置合理，满足设计、制造、使用需求。</w:t>
      </w:r>
    </w:p>
    <w:p w14:paraId="640C944F">
      <w:pPr>
        <w:shd w:val="clear" w:color="auto" w:fill="FFFFFF"/>
        <w:autoSpaceDE w:val="0"/>
        <w:snapToGrid w:val="0"/>
        <w:spacing w:line="360" w:lineRule="exact"/>
        <w:rPr>
          <w:rFonts w:ascii="宋体" w:hAnsi="宋体"/>
          <w:spacing w:val="-4"/>
        </w:rPr>
      </w:pPr>
      <w:r>
        <w:rPr>
          <w:rFonts w:hint="eastAsia" w:ascii="宋体" w:hAnsi="宋体"/>
          <w:spacing w:val="-4"/>
        </w:rPr>
        <w:t xml:space="preserve"> </w:t>
      </w:r>
      <w:r>
        <w:rPr>
          <w:rFonts w:hint="eastAsia" w:ascii="黑体" w:hAnsi="黑体" w:eastAsia="黑体"/>
        </w:rPr>
        <w:t>四、标准中涉及专利的情况</w:t>
      </w:r>
    </w:p>
    <w:p w14:paraId="3FB0D048">
      <w:pPr>
        <w:spacing w:line="360" w:lineRule="exact"/>
        <w:ind w:firstLine="438" w:firstLineChars="200"/>
        <w:rPr>
          <w:rFonts w:ascii="宋体" w:hAnsi="宋体"/>
        </w:rPr>
      </w:pPr>
      <w:r>
        <w:rPr>
          <w:rFonts w:hint="eastAsia" w:ascii="宋体" w:hAnsi="宋体"/>
        </w:rPr>
        <w:t>本标准不涉及专利问题。</w:t>
      </w:r>
    </w:p>
    <w:p w14:paraId="081E1970">
      <w:pPr>
        <w:spacing w:line="360" w:lineRule="exact"/>
        <w:rPr>
          <w:rFonts w:ascii="黑体" w:hAnsi="黑体" w:eastAsia="黑体"/>
        </w:rPr>
      </w:pPr>
      <w:r>
        <w:rPr>
          <w:rFonts w:hint="eastAsia" w:ascii="黑体" w:hAnsi="黑体" w:eastAsia="黑体"/>
        </w:rPr>
        <w:t>五、预期达到的社会效益、对产业发展的作用等情况</w:t>
      </w:r>
    </w:p>
    <w:p w14:paraId="1FDB658B">
      <w:pPr>
        <w:spacing w:line="360" w:lineRule="exact"/>
        <w:ind w:firstLine="420"/>
        <w:rPr>
          <w:rFonts w:ascii="宋体" w:hAnsi="宋体"/>
        </w:rPr>
      </w:pPr>
      <w:r>
        <w:rPr>
          <w:rFonts w:hint="eastAsia" w:ascii="宋体" w:hAnsi="宋体"/>
        </w:rPr>
        <w:t xml:space="preserve">本标准对两项标准的整合修订，将促进影院用银幕架系统产品和市场的良性发展，促进产品的升级换代和提质增效，精简、优化标准体系。 </w:t>
      </w:r>
    </w:p>
    <w:p w14:paraId="6275FD30">
      <w:pPr>
        <w:spacing w:line="360" w:lineRule="exact"/>
        <w:rPr>
          <w:rFonts w:ascii="黑体" w:hAnsi="黑体" w:eastAsia="黑体"/>
        </w:rPr>
      </w:pPr>
      <w:r>
        <w:rPr>
          <w:rFonts w:hint="eastAsia" w:ascii="黑体" w:hAnsi="黑体" w:eastAsia="黑体"/>
        </w:rPr>
        <w:t>六、与国际、国外对比情况</w:t>
      </w:r>
    </w:p>
    <w:p w14:paraId="04E25289">
      <w:pPr>
        <w:spacing w:line="360" w:lineRule="exact"/>
        <w:ind w:firstLine="420"/>
        <w:rPr>
          <w:rFonts w:ascii="宋体" w:hAnsi="宋体"/>
        </w:rPr>
      </w:pPr>
      <w:r>
        <w:rPr>
          <w:rFonts w:hint="eastAsia" w:ascii="宋体" w:hAnsi="宋体"/>
        </w:rPr>
        <w:t>本标准没有采用国际标准。</w:t>
      </w:r>
    </w:p>
    <w:p w14:paraId="38518A1D">
      <w:pPr>
        <w:spacing w:line="360" w:lineRule="exact"/>
        <w:ind w:firstLine="420"/>
        <w:rPr>
          <w:rFonts w:ascii="宋体" w:hAnsi="宋体"/>
        </w:rPr>
      </w:pPr>
      <w:r>
        <w:rPr>
          <w:rFonts w:hint="eastAsia" w:ascii="宋体" w:hAnsi="宋体"/>
        </w:rPr>
        <w:t>本标准修订过程中未查到同类国际、国外标准。</w:t>
      </w:r>
    </w:p>
    <w:p w14:paraId="7CFF9B11">
      <w:pPr>
        <w:spacing w:line="360" w:lineRule="exact"/>
        <w:ind w:firstLine="420"/>
        <w:rPr>
          <w:rFonts w:ascii="宋体" w:hAnsi="宋体"/>
        </w:rPr>
      </w:pPr>
      <w:r>
        <w:rPr>
          <w:rFonts w:hint="eastAsia" w:ascii="宋体" w:hAnsi="宋体"/>
        </w:rPr>
        <w:t>本标准修订过程中未测试国外的样本。</w:t>
      </w:r>
    </w:p>
    <w:p w14:paraId="717E1332">
      <w:pPr>
        <w:spacing w:line="360" w:lineRule="exact"/>
        <w:ind w:firstLine="420"/>
        <w:rPr>
          <w:rFonts w:ascii="宋体" w:hAnsi="宋体"/>
        </w:rPr>
      </w:pPr>
      <w:r>
        <w:rPr>
          <w:rFonts w:hint="eastAsia" w:ascii="宋体" w:hAnsi="宋体"/>
        </w:rPr>
        <w:t>本标准水平为国内先进水平。</w:t>
      </w:r>
    </w:p>
    <w:p w14:paraId="5DA667D7">
      <w:pPr>
        <w:spacing w:line="360" w:lineRule="exact"/>
        <w:rPr>
          <w:rFonts w:ascii="黑体" w:hAnsi="黑体" w:eastAsia="黑体"/>
          <w:spacing w:val="-6"/>
          <w:sz w:val="21"/>
        </w:rPr>
      </w:pPr>
      <w:r>
        <w:rPr>
          <w:rFonts w:hint="eastAsia" w:ascii="黑体" w:hAnsi="黑体" w:eastAsia="黑体"/>
        </w:rPr>
        <w:t>七、在</w:t>
      </w:r>
      <w:r>
        <w:rPr>
          <w:rFonts w:hint="eastAsia" w:ascii="黑体" w:hAnsi="黑体" w:eastAsia="黑体"/>
          <w:spacing w:val="-6"/>
          <w:sz w:val="21"/>
        </w:rPr>
        <w:t>标准体系中的位置，与现行相关法律、法规、规章及相关标准，特别是强制性标准的协调性</w:t>
      </w:r>
    </w:p>
    <w:p w14:paraId="13E038A9">
      <w:pPr>
        <w:spacing w:line="360" w:lineRule="exact"/>
        <w:ind w:firstLine="438" w:firstLineChars="200"/>
        <w:rPr>
          <w:rFonts w:ascii="宋体" w:hAnsi="宋体"/>
          <w:color w:val="FF0000"/>
        </w:rPr>
      </w:pPr>
      <w:r>
        <w:rPr>
          <w:rFonts w:hint="eastAsia" w:ascii="宋体" w:hAnsi="宋体"/>
          <w:color w:val="auto"/>
        </w:rPr>
        <w:t>本项目属电教机械标准体系第二层“03 反射和透射放映银幕”大类。</w:t>
      </w:r>
    </w:p>
    <w:p w14:paraId="6EE84CC4">
      <w:pPr>
        <w:spacing w:line="360" w:lineRule="exact"/>
        <w:ind w:firstLine="438" w:firstLineChars="200"/>
        <w:rPr>
          <w:rFonts w:ascii="宋体" w:hAnsi="宋体"/>
        </w:rPr>
      </w:pPr>
      <w:r>
        <w:rPr>
          <w:rFonts w:hint="eastAsia" w:ascii="宋体" w:hAnsi="宋体"/>
        </w:rPr>
        <w:t>本标准与现行相关法律、法规、规章</w:t>
      </w:r>
      <w:r>
        <w:rPr>
          <w:rFonts w:hint="eastAsia" w:ascii="宋体" w:hAnsi="宋体"/>
          <w:kern w:val="0"/>
        </w:rPr>
        <w:t>及相关标准</w:t>
      </w:r>
      <w:r>
        <w:rPr>
          <w:rFonts w:hint="eastAsia" w:ascii="宋体" w:hAnsi="宋体"/>
        </w:rPr>
        <w:t>协调一致。</w:t>
      </w:r>
    </w:p>
    <w:p w14:paraId="02F7E73D">
      <w:pPr>
        <w:spacing w:line="360" w:lineRule="exact"/>
        <w:rPr>
          <w:rFonts w:ascii="黑体" w:hAnsi="宋体" w:eastAsia="黑体"/>
        </w:rPr>
      </w:pPr>
      <w:r>
        <w:rPr>
          <w:rFonts w:hint="eastAsia" w:ascii="黑体" w:hAnsi="黑体" w:eastAsia="黑体"/>
        </w:rPr>
        <w:t>八、重大分歧意见的处理经过和依据</w:t>
      </w:r>
    </w:p>
    <w:p w14:paraId="22EE5CFA">
      <w:pPr>
        <w:spacing w:line="360" w:lineRule="exact"/>
        <w:ind w:firstLine="438" w:firstLineChars="200"/>
        <w:rPr>
          <w:rFonts w:ascii="宋体" w:hAnsi="宋体"/>
        </w:rPr>
      </w:pPr>
      <w:r>
        <w:rPr>
          <w:rFonts w:hint="eastAsia" w:ascii="宋体" w:hAnsi="宋体"/>
        </w:rPr>
        <w:t>无。</w:t>
      </w:r>
    </w:p>
    <w:p w14:paraId="1D1A96B8">
      <w:pPr>
        <w:spacing w:line="360" w:lineRule="exact"/>
        <w:rPr>
          <w:rFonts w:hint="eastAsia" w:ascii="黑体" w:hAnsi="黑体" w:eastAsia="黑体"/>
        </w:rPr>
      </w:pPr>
    </w:p>
    <w:p w14:paraId="3C038E23">
      <w:pPr>
        <w:spacing w:line="360" w:lineRule="exact"/>
        <w:rPr>
          <w:rFonts w:ascii="黑体" w:hAnsi="宋体" w:eastAsia="黑体"/>
        </w:rPr>
      </w:pPr>
      <w:bookmarkStart w:id="0" w:name="_GoBack"/>
      <w:bookmarkEnd w:id="0"/>
      <w:r>
        <w:rPr>
          <w:rFonts w:hint="eastAsia" w:ascii="黑体" w:hAnsi="黑体" w:eastAsia="黑体"/>
        </w:rPr>
        <w:t>九、标准性质的建议说明</w:t>
      </w:r>
    </w:p>
    <w:p w14:paraId="258AFBAB">
      <w:pPr>
        <w:spacing w:line="360" w:lineRule="exact"/>
        <w:ind w:firstLine="438" w:firstLineChars="200"/>
        <w:rPr>
          <w:rFonts w:ascii="宋体" w:hAnsi="宋体"/>
        </w:rPr>
      </w:pPr>
      <w:r>
        <w:rPr>
          <w:rFonts w:hint="eastAsia" w:ascii="宋体" w:hAnsi="宋体"/>
        </w:rPr>
        <w:t>建议本标准的性质为推荐性行业标准。</w:t>
      </w:r>
    </w:p>
    <w:p w14:paraId="0B574049">
      <w:pPr>
        <w:spacing w:line="360" w:lineRule="exact"/>
        <w:rPr>
          <w:rFonts w:ascii="黑体" w:hAnsi="宋体" w:eastAsia="黑体"/>
        </w:rPr>
      </w:pPr>
      <w:r>
        <w:rPr>
          <w:rFonts w:hint="eastAsia" w:ascii="黑体" w:hAnsi="黑体" w:eastAsia="黑体"/>
        </w:rPr>
        <w:t>十、贯彻标准的要求和措施建议</w:t>
      </w:r>
    </w:p>
    <w:p w14:paraId="6C98B8AD">
      <w:pPr>
        <w:spacing w:line="360" w:lineRule="exact"/>
        <w:ind w:firstLine="438" w:firstLineChars="200"/>
        <w:rPr>
          <w:rFonts w:ascii="黑体" w:hAnsi="宋体" w:eastAsia="黑体"/>
        </w:rPr>
      </w:pPr>
      <w:r>
        <w:rPr>
          <w:rFonts w:hint="eastAsia" w:ascii="宋体" w:hAnsi="宋体"/>
        </w:rPr>
        <w:t>建议本标准批准发布6个月后实施。在实施前应保证文本的充足供应，让本标准的相关方及时得到文本；发布后、实施前建议将本标准的相关信息在媒体上广为宣传；建议由机械工业电影电教标委会组织线下宣贯、培训及实施；建议质量检查监督部门加强对该标准的执行情况的监测。企业可按照行业标准的规定和要求制定企业标准。</w:t>
      </w:r>
    </w:p>
    <w:p w14:paraId="22AEBC4F">
      <w:pPr>
        <w:spacing w:line="360" w:lineRule="exact"/>
        <w:rPr>
          <w:rFonts w:ascii="黑体" w:hAnsi="宋体" w:eastAsia="黑体"/>
        </w:rPr>
      </w:pPr>
      <w:r>
        <w:rPr>
          <w:rFonts w:hint="eastAsia" w:ascii="黑体" w:hAnsi="黑体" w:eastAsia="黑体"/>
        </w:rPr>
        <w:t>十一、废止现行相关标准的建议</w:t>
      </w:r>
    </w:p>
    <w:p w14:paraId="2F2D508B">
      <w:pPr>
        <w:spacing w:line="360" w:lineRule="exact"/>
        <w:ind w:firstLine="438" w:firstLineChars="200"/>
        <w:rPr>
          <w:rFonts w:ascii="宋体" w:hAnsi="宋体"/>
        </w:rPr>
      </w:pPr>
      <w:r>
        <w:rPr>
          <w:rFonts w:hint="eastAsia" w:ascii="宋体" w:hAnsi="宋体"/>
        </w:rPr>
        <w:t>本标准代替JB/T 11849-2018《影院用银幕架系统》和</w:t>
      </w:r>
      <w:r>
        <w:rPr>
          <w:rFonts w:hint="eastAsia" w:ascii="宋体" w:hAnsi="宋体"/>
          <w:szCs w:val="21"/>
        </w:rPr>
        <w:t>JB/T 14158-2021</w:t>
      </w:r>
      <w:r>
        <w:rPr>
          <w:rFonts w:hint="eastAsia" w:ascii="宋体" w:hAnsi="宋体"/>
        </w:rPr>
        <w:t>《立体电影激光放映银幕架系统》。在本标准批准发布后，建议废止JB/T 11849-2018、</w:t>
      </w:r>
      <w:r>
        <w:rPr>
          <w:rFonts w:hint="eastAsia" w:ascii="宋体" w:hAnsi="宋体"/>
          <w:szCs w:val="21"/>
        </w:rPr>
        <w:t>JB/T 14158-2021。</w:t>
      </w:r>
    </w:p>
    <w:p w14:paraId="410C93F8">
      <w:pPr>
        <w:spacing w:line="360" w:lineRule="exact"/>
        <w:rPr>
          <w:rFonts w:ascii="黑体" w:hAnsi="宋体" w:eastAsia="黑体"/>
        </w:rPr>
      </w:pPr>
      <w:r>
        <w:rPr>
          <w:rFonts w:hint="eastAsia" w:ascii="黑体" w:hAnsi="黑体" w:eastAsia="黑体"/>
        </w:rPr>
        <w:t>十二、其他应予说明的事项</w:t>
      </w:r>
    </w:p>
    <w:p w14:paraId="1DC41246">
      <w:pPr>
        <w:spacing w:line="360" w:lineRule="exact"/>
        <w:ind w:firstLine="438" w:firstLineChars="200"/>
        <w:rPr>
          <w:rFonts w:ascii="宋体" w:hAnsi="宋体"/>
        </w:rPr>
      </w:pPr>
      <w:r>
        <w:rPr>
          <w:rFonts w:hint="eastAsia" w:ascii="宋体" w:hAnsi="宋体"/>
        </w:rPr>
        <w:t>202</w:t>
      </w:r>
      <w:r>
        <w:rPr>
          <w:rFonts w:hint="eastAsia" w:ascii="宋体" w:hAnsi="宋体"/>
          <w:lang w:val="en-US" w:eastAsia="zh-CN"/>
        </w:rPr>
        <w:t>5</w:t>
      </w:r>
      <w:r>
        <w:rPr>
          <w:rFonts w:hint="eastAsia" w:ascii="宋体" w:hAnsi="宋体"/>
        </w:rPr>
        <w:t>.</w:t>
      </w:r>
      <w:r>
        <w:rPr>
          <w:rFonts w:hint="eastAsia" w:ascii="宋体" w:hAnsi="宋体"/>
          <w:lang w:val="en-US" w:eastAsia="zh-CN"/>
        </w:rPr>
        <w:t>6</w:t>
      </w:r>
      <w:r>
        <w:rPr>
          <w:rFonts w:hint="eastAsia" w:ascii="宋体" w:hAnsi="宋体"/>
        </w:rPr>
        <w:t>原牵头单位——芜湖影星巨幕有限公司由于自身原因主动退出该标准的</w:t>
      </w:r>
      <w:r>
        <w:rPr>
          <w:rFonts w:hint="eastAsia" w:ascii="宋体" w:hAnsi="宋体"/>
          <w:lang w:val="en-US" w:eastAsia="zh-CN"/>
        </w:rPr>
        <w:t>整合</w:t>
      </w:r>
      <w:r>
        <w:rPr>
          <w:rFonts w:hint="eastAsia" w:ascii="宋体" w:hAnsi="宋体"/>
        </w:rPr>
        <w:t>修订，202</w:t>
      </w:r>
      <w:r>
        <w:rPr>
          <w:rFonts w:hint="eastAsia" w:ascii="宋体" w:hAnsi="宋体"/>
          <w:lang w:val="en-US" w:eastAsia="zh-CN"/>
        </w:rPr>
        <w:t>5</w:t>
      </w:r>
      <w:r>
        <w:rPr>
          <w:rFonts w:hint="eastAsia" w:ascii="宋体" w:hAnsi="宋体"/>
        </w:rPr>
        <w:t>.</w:t>
      </w:r>
      <w:r>
        <w:rPr>
          <w:rFonts w:hint="eastAsia" w:ascii="宋体" w:hAnsi="宋体"/>
          <w:lang w:val="en-US" w:eastAsia="zh-CN"/>
        </w:rPr>
        <w:t>6</w:t>
      </w:r>
      <w:r>
        <w:rPr>
          <w:rFonts w:hint="eastAsia" w:ascii="宋体" w:hAnsi="宋体"/>
        </w:rPr>
        <w:t>经标委会协调由安徽影动巨星银幕有限公司作为牵头单位，负责组织修订该项标准。</w:t>
      </w:r>
    </w:p>
    <w:sectPr>
      <w:pgSz w:w="11907" w:h="16840"/>
      <w:pgMar w:top="851" w:right="1417" w:bottom="851" w:left="1417" w:header="851" w:footer="992" w:gutter="0"/>
      <w:cols w:space="720" w:num="1"/>
      <w:docGrid w:type="linesAndChars" w:linePitch="353" w:charSpace="18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219"/>
  <w:drawingGridVerticalSpacing w:val="35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A3ZDQwMmNiOWFlYzZjYTcwOWJiZGQ0YTA5ODBmZGUifQ=="/>
  </w:docVars>
  <w:rsids>
    <w:rsidRoot w:val="00DA3442"/>
    <w:rsid w:val="000034D9"/>
    <w:rsid w:val="00011FEA"/>
    <w:rsid w:val="00020A11"/>
    <w:rsid w:val="0002497E"/>
    <w:rsid w:val="00041828"/>
    <w:rsid w:val="000565D2"/>
    <w:rsid w:val="00057041"/>
    <w:rsid w:val="00077A18"/>
    <w:rsid w:val="0008385A"/>
    <w:rsid w:val="000B1397"/>
    <w:rsid w:val="000B2230"/>
    <w:rsid w:val="000B5BF8"/>
    <w:rsid w:val="000D381B"/>
    <w:rsid w:val="000E40E9"/>
    <w:rsid w:val="000E4EA6"/>
    <w:rsid w:val="000E65DD"/>
    <w:rsid w:val="0010246B"/>
    <w:rsid w:val="00116AFA"/>
    <w:rsid w:val="00120D90"/>
    <w:rsid w:val="001411BF"/>
    <w:rsid w:val="00166BAB"/>
    <w:rsid w:val="0017699C"/>
    <w:rsid w:val="0018090A"/>
    <w:rsid w:val="00185E8B"/>
    <w:rsid w:val="001919DE"/>
    <w:rsid w:val="00196DDC"/>
    <w:rsid w:val="001975D3"/>
    <w:rsid w:val="001B2C6C"/>
    <w:rsid w:val="001B340B"/>
    <w:rsid w:val="001B584F"/>
    <w:rsid w:val="001D5336"/>
    <w:rsid w:val="001E1E1F"/>
    <w:rsid w:val="001F10A9"/>
    <w:rsid w:val="001F41E0"/>
    <w:rsid w:val="0020438F"/>
    <w:rsid w:val="00205FE7"/>
    <w:rsid w:val="00215AFB"/>
    <w:rsid w:val="00222766"/>
    <w:rsid w:val="002331AD"/>
    <w:rsid w:val="00237213"/>
    <w:rsid w:val="00241625"/>
    <w:rsid w:val="0024700C"/>
    <w:rsid w:val="002621E9"/>
    <w:rsid w:val="002718DB"/>
    <w:rsid w:val="00276F0A"/>
    <w:rsid w:val="002770CF"/>
    <w:rsid w:val="00280516"/>
    <w:rsid w:val="00295FBD"/>
    <w:rsid w:val="0029626F"/>
    <w:rsid w:val="002B39F2"/>
    <w:rsid w:val="002C2FF4"/>
    <w:rsid w:val="00306094"/>
    <w:rsid w:val="00313CE9"/>
    <w:rsid w:val="0032296F"/>
    <w:rsid w:val="0034765B"/>
    <w:rsid w:val="003631FD"/>
    <w:rsid w:val="003A4E0D"/>
    <w:rsid w:val="003B702A"/>
    <w:rsid w:val="003E472F"/>
    <w:rsid w:val="003F0699"/>
    <w:rsid w:val="003F4ADF"/>
    <w:rsid w:val="00400C30"/>
    <w:rsid w:val="00407BD9"/>
    <w:rsid w:val="00413E1A"/>
    <w:rsid w:val="004240C3"/>
    <w:rsid w:val="00440672"/>
    <w:rsid w:val="004410A0"/>
    <w:rsid w:val="00445E4A"/>
    <w:rsid w:val="00450A2A"/>
    <w:rsid w:val="00452E86"/>
    <w:rsid w:val="0046069C"/>
    <w:rsid w:val="0047282C"/>
    <w:rsid w:val="00475357"/>
    <w:rsid w:val="00492912"/>
    <w:rsid w:val="004A1BBA"/>
    <w:rsid w:val="004A254C"/>
    <w:rsid w:val="004A2A2F"/>
    <w:rsid w:val="004A3980"/>
    <w:rsid w:val="004B7FCE"/>
    <w:rsid w:val="004D7C8A"/>
    <w:rsid w:val="004E27E5"/>
    <w:rsid w:val="004E6176"/>
    <w:rsid w:val="004F033C"/>
    <w:rsid w:val="004F1C70"/>
    <w:rsid w:val="0052104E"/>
    <w:rsid w:val="005375A6"/>
    <w:rsid w:val="00540B1A"/>
    <w:rsid w:val="00552905"/>
    <w:rsid w:val="00580793"/>
    <w:rsid w:val="00580DB8"/>
    <w:rsid w:val="005957F9"/>
    <w:rsid w:val="005B3180"/>
    <w:rsid w:val="005B4B1D"/>
    <w:rsid w:val="005C0674"/>
    <w:rsid w:val="005D68DA"/>
    <w:rsid w:val="00621074"/>
    <w:rsid w:val="0063747F"/>
    <w:rsid w:val="00637507"/>
    <w:rsid w:val="00652415"/>
    <w:rsid w:val="00662A80"/>
    <w:rsid w:val="00675EEB"/>
    <w:rsid w:val="00681E90"/>
    <w:rsid w:val="00694CE2"/>
    <w:rsid w:val="006B1A3A"/>
    <w:rsid w:val="006B22F9"/>
    <w:rsid w:val="006B483F"/>
    <w:rsid w:val="006C020A"/>
    <w:rsid w:val="006D215B"/>
    <w:rsid w:val="006D536B"/>
    <w:rsid w:val="006E2101"/>
    <w:rsid w:val="00706994"/>
    <w:rsid w:val="00716ADA"/>
    <w:rsid w:val="007342E1"/>
    <w:rsid w:val="00736D6D"/>
    <w:rsid w:val="007438EF"/>
    <w:rsid w:val="0075551D"/>
    <w:rsid w:val="00790DD7"/>
    <w:rsid w:val="00795726"/>
    <w:rsid w:val="007A371A"/>
    <w:rsid w:val="007B0D5C"/>
    <w:rsid w:val="007C1BB3"/>
    <w:rsid w:val="007C7559"/>
    <w:rsid w:val="00812494"/>
    <w:rsid w:val="00817B7C"/>
    <w:rsid w:val="008341A9"/>
    <w:rsid w:val="008702D8"/>
    <w:rsid w:val="00870E4B"/>
    <w:rsid w:val="0088234A"/>
    <w:rsid w:val="008A0BBA"/>
    <w:rsid w:val="008B1E78"/>
    <w:rsid w:val="008C3263"/>
    <w:rsid w:val="008C66AA"/>
    <w:rsid w:val="008E7B4A"/>
    <w:rsid w:val="008F21B7"/>
    <w:rsid w:val="00911EF8"/>
    <w:rsid w:val="009158A3"/>
    <w:rsid w:val="00922883"/>
    <w:rsid w:val="009309BB"/>
    <w:rsid w:val="00951B85"/>
    <w:rsid w:val="0096068F"/>
    <w:rsid w:val="00976FA2"/>
    <w:rsid w:val="00981B97"/>
    <w:rsid w:val="009A1D68"/>
    <w:rsid w:val="009C1B2B"/>
    <w:rsid w:val="009C52D3"/>
    <w:rsid w:val="009D6929"/>
    <w:rsid w:val="009E6A2B"/>
    <w:rsid w:val="009F3548"/>
    <w:rsid w:val="00A0763A"/>
    <w:rsid w:val="00A11B55"/>
    <w:rsid w:val="00A14FC7"/>
    <w:rsid w:val="00A2001D"/>
    <w:rsid w:val="00A25F32"/>
    <w:rsid w:val="00A50DBD"/>
    <w:rsid w:val="00A560A2"/>
    <w:rsid w:val="00A71F2E"/>
    <w:rsid w:val="00A963E9"/>
    <w:rsid w:val="00AA3B18"/>
    <w:rsid w:val="00AB3999"/>
    <w:rsid w:val="00AB4C87"/>
    <w:rsid w:val="00AB701B"/>
    <w:rsid w:val="00AE2953"/>
    <w:rsid w:val="00AF01C2"/>
    <w:rsid w:val="00AF2F31"/>
    <w:rsid w:val="00AF50DC"/>
    <w:rsid w:val="00B032DC"/>
    <w:rsid w:val="00B34BF4"/>
    <w:rsid w:val="00B35D74"/>
    <w:rsid w:val="00B57953"/>
    <w:rsid w:val="00B657FD"/>
    <w:rsid w:val="00B713FB"/>
    <w:rsid w:val="00B9305B"/>
    <w:rsid w:val="00BA0B2D"/>
    <w:rsid w:val="00BA3732"/>
    <w:rsid w:val="00BC39BC"/>
    <w:rsid w:val="00BD2748"/>
    <w:rsid w:val="00BD2995"/>
    <w:rsid w:val="00BD72E9"/>
    <w:rsid w:val="00BE6B62"/>
    <w:rsid w:val="00C05898"/>
    <w:rsid w:val="00C32163"/>
    <w:rsid w:val="00C36D98"/>
    <w:rsid w:val="00C40801"/>
    <w:rsid w:val="00C44320"/>
    <w:rsid w:val="00C57328"/>
    <w:rsid w:val="00C63F95"/>
    <w:rsid w:val="00C641D6"/>
    <w:rsid w:val="00C856BB"/>
    <w:rsid w:val="00C979CC"/>
    <w:rsid w:val="00CA575C"/>
    <w:rsid w:val="00CB0EA0"/>
    <w:rsid w:val="00CB66EB"/>
    <w:rsid w:val="00CC622C"/>
    <w:rsid w:val="00CF052B"/>
    <w:rsid w:val="00CF0C80"/>
    <w:rsid w:val="00CF0CE9"/>
    <w:rsid w:val="00CF26CE"/>
    <w:rsid w:val="00D07DC9"/>
    <w:rsid w:val="00D12012"/>
    <w:rsid w:val="00D45AC1"/>
    <w:rsid w:val="00D717AD"/>
    <w:rsid w:val="00D834A0"/>
    <w:rsid w:val="00DA3442"/>
    <w:rsid w:val="00DB37EE"/>
    <w:rsid w:val="00DC7C08"/>
    <w:rsid w:val="00DD07BE"/>
    <w:rsid w:val="00DD6382"/>
    <w:rsid w:val="00E160AB"/>
    <w:rsid w:val="00E426C1"/>
    <w:rsid w:val="00E47F28"/>
    <w:rsid w:val="00E57814"/>
    <w:rsid w:val="00E92B93"/>
    <w:rsid w:val="00E94C39"/>
    <w:rsid w:val="00EB5D07"/>
    <w:rsid w:val="00EC2D55"/>
    <w:rsid w:val="00EC64C5"/>
    <w:rsid w:val="00ED6D9E"/>
    <w:rsid w:val="00EE4237"/>
    <w:rsid w:val="00EF0911"/>
    <w:rsid w:val="00EF2A2B"/>
    <w:rsid w:val="00EF4937"/>
    <w:rsid w:val="00EF772A"/>
    <w:rsid w:val="00F019A0"/>
    <w:rsid w:val="00F07223"/>
    <w:rsid w:val="00F268CC"/>
    <w:rsid w:val="00F3641B"/>
    <w:rsid w:val="00F502CF"/>
    <w:rsid w:val="00F56715"/>
    <w:rsid w:val="00F7524E"/>
    <w:rsid w:val="00F77AA2"/>
    <w:rsid w:val="00F904F4"/>
    <w:rsid w:val="00F913CD"/>
    <w:rsid w:val="00F92560"/>
    <w:rsid w:val="00F95402"/>
    <w:rsid w:val="00F96743"/>
    <w:rsid w:val="00FA3188"/>
    <w:rsid w:val="00FA6045"/>
    <w:rsid w:val="00FB7169"/>
    <w:rsid w:val="00FE3CC9"/>
    <w:rsid w:val="00FF01B0"/>
    <w:rsid w:val="00FF1BFB"/>
    <w:rsid w:val="00FF7D4E"/>
    <w:rsid w:val="05A36A22"/>
    <w:rsid w:val="0F9E2FA6"/>
    <w:rsid w:val="26FA6376"/>
    <w:rsid w:val="2D625D09"/>
    <w:rsid w:val="317A1BF9"/>
    <w:rsid w:val="38B32C2E"/>
    <w:rsid w:val="3FDD156D"/>
    <w:rsid w:val="430F6D9A"/>
    <w:rsid w:val="5E2B64FA"/>
    <w:rsid w:val="695D61ED"/>
    <w:rsid w:val="6E6F69B0"/>
    <w:rsid w:val="717D0DD5"/>
    <w:rsid w:val="7C153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outlineLvl w:val="0"/>
    </w:pPr>
    <w:rPr>
      <w:rFonts w:ascii="楷体_GB2312"/>
      <w:sz w:val="28"/>
    </w:rPr>
  </w:style>
  <w:style w:type="paragraph" w:styleId="3">
    <w:name w:val="heading 2"/>
    <w:basedOn w:val="1"/>
    <w:next w:val="1"/>
    <w:qFormat/>
    <w:uiPriority w:val="0"/>
    <w:pPr>
      <w:keepNext/>
      <w:jc w:val="right"/>
      <w:outlineLvl w:val="1"/>
    </w:pPr>
    <w:rPr>
      <w:b/>
      <w:bCs/>
      <w:sz w:val="84"/>
    </w:rPr>
  </w:style>
  <w:style w:type="paragraph" w:styleId="4">
    <w:name w:val="heading 3"/>
    <w:basedOn w:val="1"/>
    <w:next w:val="1"/>
    <w:qFormat/>
    <w:uiPriority w:val="0"/>
    <w:pPr>
      <w:keepNext/>
      <w:jc w:val="right"/>
      <w:outlineLvl w:val="2"/>
    </w:pPr>
    <w:rPr>
      <w:sz w:val="32"/>
    </w:rPr>
  </w:style>
  <w:style w:type="paragraph" w:styleId="5">
    <w:name w:val="heading 4"/>
    <w:basedOn w:val="1"/>
    <w:next w:val="1"/>
    <w:qFormat/>
    <w:uiPriority w:val="0"/>
    <w:pPr>
      <w:keepNext/>
      <w:jc w:val="center"/>
      <w:outlineLvl w:val="3"/>
    </w:pPr>
    <w:rPr>
      <w:b/>
      <w:bCs/>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cs="Arial"/>
      <w:sz w:val="20"/>
      <w:szCs w:val="20"/>
    </w:rPr>
  </w:style>
  <w:style w:type="paragraph" w:styleId="7">
    <w:name w:val="annotation text"/>
    <w:basedOn w:val="1"/>
    <w:link w:val="22"/>
    <w:qFormat/>
    <w:uiPriority w:val="0"/>
    <w:pPr>
      <w:jc w:val="left"/>
    </w:pPr>
  </w:style>
  <w:style w:type="paragraph" w:styleId="8">
    <w:name w:val="Body Text"/>
    <w:basedOn w:val="1"/>
    <w:qFormat/>
    <w:uiPriority w:val="0"/>
    <w:pPr>
      <w:spacing w:after="120"/>
    </w:pPr>
  </w:style>
  <w:style w:type="paragraph" w:styleId="9">
    <w:name w:val="Body Text Indent"/>
    <w:basedOn w:val="1"/>
    <w:qFormat/>
    <w:uiPriority w:val="0"/>
    <w:pPr>
      <w:ind w:firstLine="436" w:firstLineChars="175"/>
    </w:pPr>
    <w:rPr>
      <w:sz w:val="24"/>
    </w:rPr>
  </w:style>
  <w:style w:type="paragraph" w:styleId="10">
    <w:name w:val="Balloon Text"/>
    <w:basedOn w:val="1"/>
    <w:link w:val="2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annotation subject"/>
    <w:basedOn w:val="7"/>
    <w:next w:val="7"/>
    <w:link w:val="23"/>
    <w:qFormat/>
    <w:uiPriority w:val="0"/>
    <w:rPr>
      <w:b/>
      <w:bCs/>
    </w:rPr>
  </w:style>
  <w:style w:type="paragraph" w:styleId="14">
    <w:name w:val="Body Text First Indent"/>
    <w:basedOn w:val="8"/>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annotation reference"/>
    <w:basedOn w:val="17"/>
    <w:qFormat/>
    <w:uiPriority w:val="0"/>
    <w:rPr>
      <w:sz w:val="21"/>
      <w:szCs w:val="21"/>
    </w:rPr>
  </w:style>
  <w:style w:type="paragraph" w:customStyle="1" w:styleId="19">
    <w:name w:val="Char Char Char1 Char"/>
    <w:basedOn w:val="1"/>
    <w:qFormat/>
    <w:uiPriority w:val="0"/>
  </w:style>
  <w:style w:type="paragraph" w:customStyle="1" w:styleId="20">
    <w:name w:val="Char Char Char1 Char1"/>
    <w:basedOn w:val="1"/>
    <w:qFormat/>
    <w:uiPriority w:val="0"/>
  </w:style>
  <w:style w:type="character" w:customStyle="1" w:styleId="21">
    <w:name w:val="批注框文本 Char"/>
    <w:basedOn w:val="17"/>
    <w:link w:val="10"/>
    <w:qFormat/>
    <w:uiPriority w:val="0"/>
    <w:rPr>
      <w:kern w:val="2"/>
      <w:sz w:val="18"/>
      <w:szCs w:val="18"/>
    </w:rPr>
  </w:style>
  <w:style w:type="character" w:customStyle="1" w:styleId="22">
    <w:name w:val="批注文字 Char"/>
    <w:basedOn w:val="17"/>
    <w:link w:val="7"/>
    <w:qFormat/>
    <w:uiPriority w:val="0"/>
    <w:rPr>
      <w:kern w:val="2"/>
      <w:sz w:val="21"/>
      <w:szCs w:val="24"/>
    </w:rPr>
  </w:style>
  <w:style w:type="character" w:customStyle="1" w:styleId="23">
    <w:name w:val="批注主题 Char"/>
    <w:basedOn w:val="22"/>
    <w:link w:val="1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1BCE135-F9A2-4490-8190-A987C42B3C13}">
  <ds:schemaRefs/>
</ds:datastoreItem>
</file>

<file path=docProps/app.xml><?xml version="1.0" encoding="utf-8"?>
<Properties xmlns="http://schemas.openxmlformats.org/officeDocument/2006/extended-properties" xmlns:vt="http://schemas.openxmlformats.org/officeDocument/2006/docPropsVTypes">
  <Template>Normal</Template>
  <Company>fytdjy</Company>
  <Pages>3</Pages>
  <Words>2409</Words>
  <Characters>2746</Characters>
  <Lines>65</Lines>
  <Paragraphs>18</Paragraphs>
  <TotalTime>20</TotalTime>
  <ScaleCrop>false</ScaleCrop>
  <LinksUpToDate>false</LinksUpToDate>
  <CharactersWithSpaces>2779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2025-04-07T08:11:00Z</dcterms:created>
  <dc:creator>yhg</dc:creator>
  <cp:lastModifiedBy>邓荣武</cp:lastModifiedBy>
  <cp:lastPrinted>2025-04-17T02:23:00Z</cp:lastPrinted>
  <dcterms:modified xsi:type="dcterms:W3CDTF">2025-06-30T13:34:13Z</dcterms:modified>
  <dc:title>ICS  37</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C9EC49F89EEC45F3A531E0ED7AA8943F_12</vt:lpwstr>
  </property>
  <property fmtid="{D5CDD505-2E9C-101B-9397-08002B2CF9AE}" pid="4" name="KSOTemplateDocerSaveRecord">
    <vt:lpwstr>eyJoZGlkIjoiZDA3ZDQwMmNiOWFlYzZjYTcwOWJiZGQ0YTA5ODBmZGUiLCJ1c2VySWQiOiIxMTMyMTAyMzI5In0=</vt:lpwstr>
  </property>
</Properties>
</file>