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36C0D">
      <w:pPr>
        <w:adjustRightInd w:val="0"/>
        <w:snapToGrid w:val="0"/>
        <w:spacing w:line="360" w:lineRule="auto"/>
        <w:jc w:val="center"/>
        <w:rPr>
          <w:rFonts w:ascii="Calibri" w:hAnsi="Calibri" w:eastAsia="宋体" w:cs="Times New Roman"/>
          <w:b/>
          <w:bCs/>
          <w:sz w:val="32"/>
          <w:szCs w:val="32"/>
        </w:rPr>
      </w:pPr>
      <w:r>
        <w:rPr>
          <w:rFonts w:ascii="Calibri" w:hAnsi="Calibri" w:eastAsia="宋体" w:cs="Times New Roman"/>
          <w:b/>
          <w:bCs/>
          <w:sz w:val="32"/>
          <w:szCs w:val="32"/>
        </w:rPr>
        <w:t>行业标准修改通知单</w:t>
      </w:r>
    </w:p>
    <w:p w14:paraId="4E15EC0F">
      <w:pPr>
        <w:adjustRightInd w:val="0"/>
        <w:snapToGrid w:val="0"/>
        <w:spacing w:line="360" w:lineRule="auto"/>
        <w:jc w:val="center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JB</w:t>
      </w:r>
      <w:r>
        <w:rPr>
          <w:rFonts w:ascii="Calibri" w:hAnsi="Calibri" w:eastAsia="宋体" w:cs="Times New Roman"/>
          <w:sz w:val="24"/>
          <w:szCs w:val="24"/>
        </w:rPr>
        <w:t>/T</w:t>
      </w:r>
      <w:r>
        <w:rPr>
          <w:rFonts w:hint="eastAsia" w:ascii="Calibri" w:hAnsi="Calibri" w:eastAsia="宋体" w:cs="Times New Roman"/>
          <w:sz w:val="24"/>
          <w:szCs w:val="24"/>
        </w:rPr>
        <w:t xml:space="preserve"> 14871-2024</w:t>
      </w:r>
    </w:p>
    <w:p w14:paraId="023326EE">
      <w:pPr>
        <w:adjustRightInd w:val="0"/>
        <w:snapToGrid w:val="0"/>
        <w:spacing w:line="360" w:lineRule="auto"/>
        <w:jc w:val="center"/>
        <w:rPr>
          <w:rFonts w:ascii="Calibri" w:hAnsi="Calibri" w:eastAsia="宋体" w:cs="Times New Roman"/>
          <w:sz w:val="24"/>
          <w:szCs w:val="24"/>
        </w:rPr>
      </w:pPr>
      <w:r>
        <w:rPr>
          <w:rFonts w:ascii="Calibri" w:hAnsi="Calibri" w:eastAsia="宋体" w:cs="Times New Roman"/>
          <w:sz w:val="24"/>
          <w:szCs w:val="24"/>
        </w:rPr>
        <w:t>《</w:t>
      </w:r>
      <w:r>
        <w:rPr>
          <w:rFonts w:hint="eastAsia" w:ascii="Calibri" w:hAnsi="Calibri" w:eastAsia="宋体" w:cs="Times New Roman"/>
          <w:sz w:val="24"/>
          <w:szCs w:val="24"/>
        </w:rPr>
        <w:t>超短焦数字抗光幕</w:t>
      </w:r>
      <w:r>
        <w:rPr>
          <w:rFonts w:ascii="Calibri" w:hAnsi="Calibri" w:eastAsia="宋体" w:cs="Times New Roman"/>
          <w:sz w:val="24"/>
          <w:szCs w:val="24"/>
        </w:rPr>
        <w:t>》第1号修改单</w:t>
      </w:r>
    </w:p>
    <w:p w14:paraId="797DE33F">
      <w:pPr>
        <w:adjustRightInd w:val="0"/>
        <w:snapToGrid w:val="0"/>
        <w:spacing w:line="360" w:lineRule="auto"/>
        <w:jc w:val="center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（征求意见稿）</w:t>
      </w:r>
    </w:p>
    <w:tbl>
      <w:tblPr>
        <w:tblStyle w:val="4"/>
        <w:tblW w:w="51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4"/>
      </w:tblGrid>
      <w:tr w14:paraId="101A5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9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E6135BC">
            <w:pPr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4"/>
              </w:rPr>
            </w:pPr>
          </w:p>
          <w:p w14:paraId="6749ABB5">
            <w:pPr>
              <w:adjustRightInd w:val="0"/>
              <w:snapToGrid w:val="0"/>
              <w:spacing w:line="480" w:lineRule="auto"/>
              <w:rPr>
                <w:rFonts w:ascii="宋体" w:hAnsi="宋体" w:eastAsia="宋体" w:cs="Times New Roman"/>
                <w:b/>
                <w:szCs w:val="24"/>
              </w:rPr>
            </w:pPr>
            <w:r>
              <w:rPr>
                <w:rFonts w:ascii="宋体" w:hAnsi="宋体" w:eastAsia="宋体" w:cs="Times New Roman"/>
                <w:b/>
                <w:szCs w:val="24"/>
              </w:rPr>
              <w:t>①</w:t>
            </w:r>
          </w:p>
          <w:p w14:paraId="1E8031E1">
            <w:pPr>
              <w:adjustRightInd w:val="0"/>
              <w:snapToGrid w:val="0"/>
              <w:spacing w:line="480" w:lineRule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1　</w:t>
            </w:r>
            <w:r>
              <w:rPr>
                <w:rFonts w:hint="eastAsia" w:ascii="黑体" w:hAnsi="黑体" w:eastAsia="黑体" w:cs="黑体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Cs w:val="24"/>
              </w:rPr>
              <w:t>范围</w:t>
            </w:r>
          </w:p>
          <w:p w14:paraId="532C4A46">
            <w:pPr>
              <w:adjustRightInd w:val="0"/>
              <w:snapToGrid w:val="0"/>
              <w:spacing w:line="480" w:lineRule="auto"/>
              <w:ind w:firstLine="420" w:firstLineChars="200"/>
              <w:rPr>
                <w:rFonts w:hint="eastAsia" w:ascii="宋体" w:hAnsi="宋体" w:eastAsia="宋体" w:cs="Times New Roman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……</w:t>
            </w:r>
            <w:r>
              <w:rPr>
                <w:rFonts w:hint="eastAsia" w:ascii="宋体" w:hAnsi="宋体" w:eastAsia="宋体" w:cs="Times New Roman"/>
                <w:szCs w:val="24"/>
                <w:lang w:eastAsia="zh-CN"/>
              </w:rPr>
              <w:t>。</w:t>
            </w:r>
          </w:p>
          <w:p w14:paraId="6CB86616">
            <w:pPr>
              <w:adjustRightInd w:val="0"/>
              <w:snapToGrid w:val="0"/>
              <w:spacing w:line="480" w:lineRule="auto"/>
              <w:ind w:firstLine="420" w:firstLineChars="200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本文件适用于投射比在0.4以内的投影放映设备用抗光幕的制造。</w:t>
            </w:r>
          </w:p>
          <w:p w14:paraId="5F58A4C7">
            <w:pPr>
              <w:adjustRightInd w:val="0"/>
              <w:snapToGrid w:val="0"/>
              <w:spacing w:line="480" w:lineRule="auto"/>
              <w:rPr>
                <w:rFonts w:hint="eastAsia" w:ascii="宋体" w:hAnsi="宋体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4"/>
                <w:lang w:val="en-US" w:eastAsia="zh-CN"/>
              </w:rPr>
              <w:t>更改为：</w:t>
            </w:r>
          </w:p>
          <w:p w14:paraId="4C997396">
            <w:pPr>
              <w:adjustRightInd w:val="0"/>
              <w:snapToGrid w:val="0"/>
              <w:spacing w:line="480" w:lineRule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1　</w:t>
            </w:r>
            <w:r>
              <w:rPr>
                <w:rFonts w:hint="eastAsia" w:ascii="黑体" w:hAnsi="黑体" w:eastAsia="黑体" w:cs="黑体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Cs w:val="24"/>
              </w:rPr>
              <w:t>范围</w:t>
            </w:r>
          </w:p>
          <w:p w14:paraId="2D3E490A">
            <w:pPr>
              <w:adjustRightInd w:val="0"/>
              <w:snapToGrid w:val="0"/>
              <w:spacing w:line="480" w:lineRule="auto"/>
              <w:ind w:firstLine="420" w:firstLineChars="200"/>
              <w:rPr>
                <w:rFonts w:hint="eastAsia" w:ascii="宋体" w:hAnsi="宋体" w:eastAsia="宋体" w:cs="Times New Roman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……</w:t>
            </w:r>
            <w:r>
              <w:rPr>
                <w:rFonts w:hint="eastAsia" w:ascii="宋体" w:hAnsi="宋体" w:eastAsia="宋体" w:cs="Times New Roman"/>
                <w:szCs w:val="24"/>
                <w:lang w:eastAsia="zh-CN"/>
              </w:rPr>
              <w:t>。</w:t>
            </w:r>
          </w:p>
          <w:p w14:paraId="47CF3853">
            <w:pPr>
              <w:adjustRightInd w:val="0"/>
              <w:snapToGrid w:val="0"/>
              <w:spacing w:line="480" w:lineRule="auto"/>
              <w:ind w:firstLine="420" w:firstLineChars="200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本文件适用于投射比在0.4以内</w:t>
            </w:r>
            <w:r>
              <w:rPr>
                <w:rFonts w:hint="eastAsia" w:ascii="宋体" w:hAnsi="宋体" w:eastAsia="宋体" w:cs="Times New Roman"/>
                <w:szCs w:val="24"/>
                <w:lang w:val="en-US" w:eastAsia="zh-CN"/>
              </w:rPr>
              <w:t>、光栅结构</w:t>
            </w:r>
            <w:r>
              <w:rPr>
                <w:rFonts w:hint="eastAsia" w:ascii="宋体" w:hAnsi="宋体" w:eastAsia="宋体" w:cs="Times New Roman"/>
                <w:szCs w:val="24"/>
              </w:rPr>
              <w:t>的投影放映设备用抗光幕的制造。</w:t>
            </w:r>
          </w:p>
          <w:p w14:paraId="1D8A0B44">
            <w:pPr>
              <w:adjustRightInd w:val="0"/>
              <w:snapToGrid w:val="0"/>
              <w:spacing w:line="480" w:lineRule="auto"/>
              <w:ind w:firstLine="420" w:firstLineChars="200"/>
              <w:rPr>
                <w:rFonts w:hint="eastAsia" w:ascii="宋体" w:hAnsi="宋体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4"/>
                <w:lang w:val="en-US" w:eastAsia="zh-CN"/>
              </w:rPr>
              <w:t>本文件不适用于其他光学结构的</w:t>
            </w:r>
            <w:r>
              <w:rPr>
                <w:rFonts w:hint="eastAsia" w:ascii="宋体" w:hAnsi="宋体" w:eastAsia="宋体" w:cs="Times New Roman"/>
                <w:szCs w:val="24"/>
              </w:rPr>
              <w:t>投影放映设备用抗光幕</w:t>
            </w:r>
            <w:r>
              <w:rPr>
                <w:rFonts w:hint="eastAsia" w:ascii="宋体" w:hAnsi="宋体" w:eastAsia="宋体" w:cs="Times New Roman"/>
                <w:szCs w:val="24"/>
                <w:lang w:eastAsia="zh-CN"/>
              </w:rPr>
              <w:t>。</w:t>
            </w:r>
          </w:p>
          <w:p w14:paraId="1327911F">
            <w:pPr>
              <w:adjustRightInd w:val="0"/>
              <w:snapToGrid w:val="0"/>
              <w:spacing w:line="480" w:lineRule="auto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ascii="Calibri" w:hAnsi="Calibri" w:eastAsia="宋体" w:cs="Times New Roman"/>
                <w:szCs w:val="24"/>
              </w:rPr>
              <w:t xml:space="preserve">   </w:t>
            </w:r>
          </w:p>
          <w:p w14:paraId="482533A6">
            <w:pPr>
              <w:adjustRightInd w:val="0"/>
              <w:snapToGrid w:val="0"/>
              <w:spacing w:line="480" w:lineRule="auto"/>
              <w:rPr>
                <w:rFonts w:ascii="Calibri" w:hAnsi="Calibri" w:eastAsia="宋体" w:cs="Times New Roman"/>
                <w:szCs w:val="24"/>
              </w:rPr>
            </w:pPr>
          </w:p>
          <w:p w14:paraId="50EC91E1">
            <w:pPr>
              <w:adjustRightInd w:val="0"/>
              <w:snapToGrid w:val="0"/>
              <w:spacing w:line="480" w:lineRule="auto"/>
              <w:ind w:firstLine="420" w:firstLineChars="200"/>
              <w:rPr>
                <w:rFonts w:ascii="Calibri" w:hAnsi="Calibri" w:eastAsia="宋体" w:cs="Times New Roman"/>
                <w:szCs w:val="24"/>
              </w:rPr>
            </w:pPr>
          </w:p>
          <w:p w14:paraId="62A7A9BC">
            <w:pPr>
              <w:adjustRightInd w:val="0"/>
              <w:snapToGrid w:val="0"/>
              <w:spacing w:line="480" w:lineRule="auto"/>
              <w:ind w:firstLine="420" w:firstLineChars="200"/>
              <w:rPr>
                <w:rFonts w:ascii="Calibri" w:hAnsi="Calibri" w:eastAsia="宋体" w:cs="Times New Roman"/>
                <w:szCs w:val="24"/>
              </w:rPr>
            </w:pPr>
          </w:p>
          <w:p w14:paraId="3F71B911">
            <w:pPr>
              <w:adjustRightInd w:val="0"/>
              <w:snapToGrid w:val="0"/>
              <w:spacing w:line="480" w:lineRule="auto"/>
              <w:ind w:firstLine="420" w:firstLineChars="200"/>
              <w:rPr>
                <w:rFonts w:ascii="Calibri" w:hAnsi="Calibri" w:eastAsia="宋体" w:cs="Times New Roman"/>
                <w:szCs w:val="24"/>
              </w:rPr>
            </w:pPr>
          </w:p>
          <w:p w14:paraId="5D58AE1A">
            <w:pPr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</w:p>
        </w:tc>
      </w:tr>
    </w:tbl>
    <w:p w14:paraId="4629C4E6">
      <w:pPr>
        <w:sectPr>
          <w:pgSz w:w="11906" w:h="16838"/>
          <w:pgMar w:top="1418" w:right="1588" w:bottom="1134" w:left="1588" w:header="851" w:footer="992" w:gutter="0"/>
          <w:cols w:space="425" w:num="1"/>
          <w:docGrid w:type="lines" w:linePitch="312" w:charSpace="0"/>
        </w:sectPr>
      </w:pPr>
    </w:p>
    <w:p w14:paraId="25B06EE9">
      <w:pPr>
        <w:tabs>
          <w:tab w:val="left" w:pos="1446"/>
        </w:tabs>
        <w:spacing w:line="4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中华人民共和国机械行业标准</w:t>
      </w:r>
    </w:p>
    <w:p w14:paraId="08D8362A">
      <w:pPr>
        <w:spacing w:line="4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《</w:t>
      </w:r>
      <w:r>
        <w:rPr>
          <w:rFonts w:hint="eastAsia" w:ascii="黑体" w:hAnsi="宋体" w:eastAsia="黑体" w:cs="宋体"/>
          <w:kern w:val="0"/>
          <w:sz w:val="32"/>
          <w:szCs w:val="32"/>
        </w:rPr>
        <w:t>超短焦数字抗光幕</w:t>
      </w:r>
      <w:r>
        <w:rPr>
          <w:rFonts w:hint="eastAsia" w:ascii="黑体" w:hAnsi="Times New Roman" w:eastAsia="黑体" w:cs="Times New Roman"/>
          <w:sz w:val="32"/>
          <w:szCs w:val="32"/>
        </w:rPr>
        <w:t>》第</w:t>
      </w:r>
      <w:r>
        <w:rPr>
          <w:rFonts w:ascii="黑体" w:hAnsi="Times New Roman" w:eastAsia="黑体" w:cs="Times New Roman"/>
          <w:sz w:val="32"/>
          <w:szCs w:val="32"/>
        </w:rPr>
        <w:t>1号修改单</w:t>
      </w:r>
    </w:p>
    <w:p w14:paraId="17AFAFAD">
      <w:pPr>
        <w:tabs>
          <w:tab w:val="left" w:pos="1446"/>
        </w:tabs>
        <w:spacing w:line="400" w:lineRule="exact"/>
        <w:jc w:val="center"/>
        <w:rPr>
          <w:rFonts w:ascii="黑体" w:hAnsi="Times New Roman" w:eastAsia="黑体" w:cs="Times New Roman"/>
          <w:sz w:val="36"/>
          <w:szCs w:val="36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编制说明</w:t>
      </w:r>
    </w:p>
    <w:p w14:paraId="718EEE9B">
      <w:pPr>
        <w:jc w:val="right"/>
        <w:rPr>
          <w:rFonts w:ascii="黑体" w:hAnsi="宋体" w:eastAsia="黑体" w:cs="Times New Roman"/>
          <w:sz w:val="24"/>
          <w:szCs w:val="24"/>
        </w:rPr>
      </w:pPr>
      <w:r>
        <w:rPr>
          <w:rFonts w:ascii="黑体" w:hAnsi="宋体" w:eastAsia="黑体" w:cs="Times New Roman"/>
          <w:sz w:val="24"/>
          <w:szCs w:val="24"/>
        </w:rPr>
        <w:t xml:space="preserve">JB/T </w:t>
      </w:r>
      <w:r>
        <w:rPr>
          <w:rFonts w:hint="eastAsia" w:ascii="黑体" w:hAnsi="宋体" w:eastAsia="黑体" w:cs="Times New Roman"/>
          <w:sz w:val="24"/>
          <w:szCs w:val="24"/>
        </w:rPr>
        <w:t>14871-2024</w:t>
      </w:r>
    </w:p>
    <w:p w14:paraId="4114D4EA"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—————————————————————————————————————————</w:t>
      </w:r>
    </w:p>
    <w:p w14:paraId="0C9193C6">
      <w:pPr>
        <w:spacing w:line="420" w:lineRule="exact"/>
        <w:rPr>
          <w:rFonts w:ascii="黑体" w:hAnsi="宋体" w:eastAsia="黑体" w:cs="Times New Roman"/>
          <w:szCs w:val="21"/>
        </w:rPr>
      </w:pPr>
      <w:r>
        <w:rPr>
          <w:rFonts w:hint="eastAsia" w:ascii="黑体" w:hAnsi="宋体" w:eastAsia="黑体" w:cs="Times New Roman"/>
          <w:szCs w:val="21"/>
        </w:rPr>
        <w:t>一、工作简况</w:t>
      </w:r>
    </w:p>
    <w:p w14:paraId="5EE2971E">
      <w:pPr>
        <w:tabs>
          <w:tab w:val="left" w:pos="1446"/>
        </w:tabs>
        <w:spacing w:line="420" w:lineRule="exact"/>
        <w:rPr>
          <w:rFonts w:ascii="黑体" w:hAnsi="黑体" w:eastAsia="黑体" w:cs="Times New Roman"/>
          <w:szCs w:val="21"/>
        </w:rPr>
      </w:pPr>
      <w:r>
        <w:rPr>
          <w:rFonts w:hint="eastAsia" w:ascii="黑体" w:hAnsi="黑体" w:eastAsia="黑体" w:cs="Times New Roman"/>
          <w:szCs w:val="21"/>
        </w:rPr>
        <w:t>1  任务来源</w:t>
      </w:r>
    </w:p>
    <w:p w14:paraId="7FFC09DC">
      <w:pPr>
        <w:spacing w:line="420" w:lineRule="exact"/>
        <w:ind w:firstLine="411" w:firstLineChars="196"/>
        <w:rPr>
          <w:rFonts w:ascii="宋体" w:hAnsi="宋体" w:eastAsia="宋体" w:cs="Times New Roman"/>
          <w:color w:val="auto"/>
          <w:szCs w:val="21"/>
        </w:rPr>
      </w:pPr>
      <w:r>
        <w:rPr>
          <w:rFonts w:hint="eastAsia" w:ascii="宋体" w:hAnsi="宋体" w:eastAsia="宋体" w:cs="Times New Roman"/>
          <w:color w:val="auto"/>
          <w:szCs w:val="21"/>
        </w:rPr>
        <w:t>本标准是2</w:t>
      </w:r>
      <w:r>
        <w:rPr>
          <w:rFonts w:ascii="宋体" w:hAnsi="宋体" w:eastAsia="宋体" w:cs="Times New Roman"/>
          <w:color w:val="auto"/>
          <w:szCs w:val="21"/>
        </w:rPr>
        <w:t>0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24</w:t>
      </w:r>
      <w:r>
        <w:rPr>
          <w:rFonts w:hint="eastAsia" w:ascii="宋体" w:hAnsi="宋体" w:eastAsia="宋体" w:cs="Times New Roman"/>
          <w:color w:val="auto"/>
          <w:szCs w:val="21"/>
        </w:rPr>
        <w:t>年1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0</w:t>
      </w:r>
      <w:r>
        <w:rPr>
          <w:rFonts w:hint="eastAsia" w:ascii="宋体" w:hAnsi="宋体" w:eastAsia="宋体" w:cs="Times New Roman"/>
          <w:color w:val="auto"/>
          <w:szCs w:val="21"/>
        </w:rPr>
        <w:t>月发布，2</w:t>
      </w:r>
      <w:r>
        <w:rPr>
          <w:rFonts w:ascii="宋体" w:hAnsi="宋体" w:eastAsia="宋体" w:cs="Times New Roman"/>
          <w:color w:val="auto"/>
          <w:szCs w:val="21"/>
        </w:rPr>
        <w:t>0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25</w:t>
      </w:r>
      <w:r>
        <w:rPr>
          <w:rFonts w:hint="eastAsia" w:ascii="宋体" w:hAnsi="宋体" w:eastAsia="宋体" w:cs="Times New Roman"/>
          <w:color w:val="auto"/>
          <w:szCs w:val="21"/>
        </w:rPr>
        <w:t>年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szCs w:val="21"/>
        </w:rPr>
        <w:t>月实施的，在实际使用过程中发现了一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出</w:t>
      </w:r>
      <w:r>
        <w:rPr>
          <w:rFonts w:hint="eastAsia" w:ascii="宋体" w:hAnsi="宋体" w:eastAsia="宋体" w:cs="Times New Roman"/>
          <w:color w:val="auto"/>
          <w:szCs w:val="21"/>
        </w:rPr>
        <w:t>不尽完善的地方，故提出该标准第1号修改单。</w:t>
      </w:r>
    </w:p>
    <w:p w14:paraId="2E7F21AC">
      <w:pPr>
        <w:spacing w:line="420" w:lineRule="exact"/>
        <w:rPr>
          <w:rFonts w:ascii="黑体" w:hAnsi="黑体" w:eastAsia="黑体" w:cs="Times New Roman"/>
          <w:szCs w:val="21"/>
        </w:rPr>
      </w:pPr>
      <w:r>
        <w:rPr>
          <w:rFonts w:hint="eastAsia" w:ascii="黑体" w:hAnsi="黑体" w:eastAsia="黑体" w:cs="Times New Roman"/>
          <w:szCs w:val="21"/>
        </w:rPr>
        <w:t>2  主要工作过程</w:t>
      </w:r>
    </w:p>
    <w:p w14:paraId="1FDA729D">
      <w:pPr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1"/>
        </w:rPr>
      </w:pPr>
      <w:r>
        <w:rPr>
          <w:rFonts w:hint="eastAsia" w:ascii="宋体" w:hAnsi="宋体" w:eastAsia="宋体" w:cs="Times New Roman"/>
          <w:color w:val="auto"/>
          <w:szCs w:val="21"/>
        </w:rPr>
        <w:t>起草(草案、论证)阶段：20</w:t>
      </w:r>
      <w:r>
        <w:rPr>
          <w:rFonts w:ascii="宋体" w:hAnsi="宋体" w:eastAsia="宋体" w:cs="Times New Roman"/>
          <w:color w:val="auto"/>
          <w:szCs w:val="21"/>
        </w:rPr>
        <w:t>2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szCs w:val="21"/>
        </w:rPr>
        <w:t>.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szCs w:val="21"/>
        </w:rPr>
        <w:t>标委会组织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牵头</w:t>
      </w:r>
      <w:r>
        <w:rPr>
          <w:rFonts w:hint="eastAsia" w:ascii="宋体" w:hAnsi="宋体" w:eastAsia="宋体" w:cs="Times New Roman"/>
          <w:color w:val="auto"/>
          <w:szCs w:val="21"/>
        </w:rPr>
        <w:t>单位成立了</w:t>
      </w:r>
      <w:r>
        <w:rPr>
          <w:rFonts w:hint="eastAsia" w:ascii="宋体" w:hAnsi="Times New Roman" w:eastAsia="宋体" w:cs="Times New Roman"/>
          <w:color w:val="auto"/>
          <w:szCs w:val="21"/>
        </w:rPr>
        <w:t>“</w:t>
      </w:r>
      <w:r>
        <w:rPr>
          <w:rFonts w:hint="eastAsia" w:ascii="宋体" w:hAnsi="宋体" w:eastAsia="宋体" w:cs="Times New Roman"/>
          <w:color w:val="auto"/>
          <w:szCs w:val="21"/>
        </w:rPr>
        <w:t>超短焦数字抗光幕</w:t>
      </w:r>
      <w:r>
        <w:rPr>
          <w:rFonts w:hint="eastAsia" w:ascii="宋体" w:hAnsi="Times New Roman" w:eastAsia="宋体" w:cs="Times New Roman"/>
          <w:color w:val="auto"/>
          <w:szCs w:val="21"/>
        </w:rPr>
        <w:t>”第</w:t>
      </w:r>
      <w:r>
        <w:rPr>
          <w:rFonts w:ascii="宋体" w:hAnsi="Times New Roman" w:eastAsia="宋体" w:cs="Times New Roman"/>
          <w:color w:val="auto"/>
          <w:szCs w:val="21"/>
        </w:rPr>
        <w:t>1号修改单</w:t>
      </w:r>
      <w:r>
        <w:rPr>
          <w:rFonts w:hint="eastAsia" w:ascii="宋体" w:hAnsi="Times New Roman" w:eastAsia="宋体" w:cs="Times New Roman"/>
          <w:color w:val="auto"/>
          <w:szCs w:val="21"/>
        </w:rPr>
        <w:t>工作组，确定工作方案。起草工作组在工作过程中广泛收集、分析国内外相关技术文献和资料，结合</w:t>
      </w:r>
      <w:r>
        <w:rPr>
          <w:rFonts w:hint="eastAsia" w:ascii="宋体" w:hAnsi="宋体" w:eastAsia="宋体" w:cs="Times New Roman"/>
          <w:color w:val="auto"/>
          <w:szCs w:val="21"/>
        </w:rPr>
        <w:t>超短焦数字抗光幕</w:t>
      </w:r>
      <w:r>
        <w:rPr>
          <w:rFonts w:hint="eastAsia" w:ascii="宋体" w:hAnsi="Times New Roman" w:eastAsia="宋体" w:cs="Times New Roman"/>
          <w:color w:val="auto"/>
          <w:szCs w:val="21"/>
        </w:rPr>
        <w:t>的生产和使用经验，对问题进行总结和归纳，并组织专家对修改的主要内容进行研讨，</w:t>
      </w:r>
      <w:r>
        <w:rPr>
          <w:rFonts w:hint="eastAsia" w:ascii="宋体" w:hAnsi="宋体" w:eastAsia="宋体" w:cs="Times New Roman"/>
          <w:color w:val="auto"/>
          <w:szCs w:val="21"/>
        </w:rPr>
        <w:t>于20</w:t>
      </w:r>
      <w:r>
        <w:rPr>
          <w:rFonts w:ascii="宋体" w:hAnsi="宋体" w:eastAsia="宋体" w:cs="Times New Roman"/>
          <w:color w:val="auto"/>
          <w:szCs w:val="21"/>
        </w:rPr>
        <w:t>2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szCs w:val="21"/>
        </w:rPr>
        <w:t>.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6</w:t>
      </w:r>
      <w:r>
        <w:rPr>
          <w:rFonts w:hint="eastAsia" w:ascii="宋体" w:hAnsi="宋体" w:eastAsia="宋体" w:cs="Times New Roman"/>
          <w:color w:val="auto"/>
          <w:szCs w:val="21"/>
        </w:rPr>
        <w:t>.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26</w:t>
      </w:r>
      <w:r>
        <w:rPr>
          <w:rFonts w:hint="eastAsia" w:ascii="宋体" w:hAnsi="宋体" w:eastAsia="宋体" w:cs="Times New Roman"/>
          <w:color w:val="auto"/>
          <w:szCs w:val="21"/>
        </w:rPr>
        <w:t>形成第1号修改单。</w:t>
      </w:r>
    </w:p>
    <w:p w14:paraId="42508347">
      <w:pPr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1"/>
        </w:rPr>
      </w:pPr>
      <w:r>
        <w:rPr>
          <w:rFonts w:hint="eastAsia" w:ascii="宋体" w:hAnsi="宋体" w:eastAsia="宋体" w:cs="Times New Roman"/>
          <w:color w:val="auto"/>
          <w:szCs w:val="21"/>
        </w:rPr>
        <w:t>标委会于2025.5.1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0</w:t>
      </w:r>
      <w:r>
        <w:rPr>
          <w:rFonts w:hint="eastAsia" w:ascii="宋体" w:hAnsi="宋体" w:eastAsia="宋体" w:cs="Times New Roman"/>
          <w:color w:val="auto"/>
          <w:szCs w:val="21"/>
        </w:rPr>
        <w:t>在福建南平组织召开</w:t>
      </w:r>
      <w:r>
        <w:rPr>
          <w:rFonts w:hint="eastAsia" w:ascii="宋体" w:hAnsi="宋体" w:eastAsia="宋体" w:cs="Times New Roman"/>
          <w:color w:val="auto"/>
          <w:szCs w:val="21"/>
          <w:lang w:eastAsia="zh-CN"/>
        </w:rPr>
        <w:t>的</w:t>
      </w:r>
      <w:r>
        <w:rPr>
          <w:rFonts w:hint="eastAsia" w:ascii="宋体" w:hAnsi="宋体" w:eastAsia="宋体" w:cs="Times New Roman"/>
          <w:color w:val="auto"/>
          <w:szCs w:val="21"/>
        </w:rPr>
        <w:t>该项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行业</w:t>
      </w:r>
      <w:r>
        <w:rPr>
          <w:rFonts w:hint="eastAsia" w:ascii="宋体" w:hAnsi="宋体" w:eastAsia="宋体" w:cs="Times New Roman"/>
          <w:color w:val="auto"/>
          <w:szCs w:val="21"/>
        </w:rPr>
        <w:t>标准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宣贯</w:t>
      </w:r>
      <w:r>
        <w:rPr>
          <w:rFonts w:hint="eastAsia" w:ascii="宋体" w:hAnsi="宋体" w:eastAsia="宋体" w:cs="Times New Roman"/>
          <w:color w:val="auto"/>
          <w:szCs w:val="21"/>
        </w:rPr>
        <w:t>会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上</w:t>
      </w:r>
      <w:r>
        <w:rPr>
          <w:rFonts w:hint="eastAsia" w:ascii="宋体" w:hAnsi="宋体" w:eastAsia="宋体" w:cs="Times New Roman"/>
          <w:color w:val="auto"/>
          <w:szCs w:val="21"/>
        </w:rPr>
        <w:t>，与会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人员在</w:t>
      </w:r>
      <w:r>
        <w:rPr>
          <w:rFonts w:hint="eastAsia" w:ascii="宋体" w:hAnsi="宋体" w:eastAsia="宋体" w:cs="Times New Roman"/>
          <w:color w:val="auto"/>
          <w:szCs w:val="21"/>
        </w:rPr>
        <w:t>对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该项</w:t>
      </w:r>
      <w:r>
        <w:rPr>
          <w:rFonts w:hint="eastAsia" w:ascii="宋体" w:hAnsi="宋体" w:eastAsia="宋体" w:cs="Times New Roman"/>
          <w:color w:val="auto"/>
          <w:szCs w:val="21"/>
        </w:rPr>
        <w:t>标准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第1章“范围”</w:t>
      </w:r>
      <w:r>
        <w:rPr>
          <w:rFonts w:hint="eastAsia" w:ascii="宋体" w:hAnsi="宋体" w:eastAsia="宋体" w:cs="Times New Roman"/>
          <w:color w:val="auto"/>
          <w:szCs w:val="21"/>
        </w:rPr>
        <w:t>进行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学习和</w:t>
      </w:r>
      <w:r>
        <w:rPr>
          <w:rFonts w:hint="eastAsia" w:ascii="宋体" w:hAnsi="宋体" w:eastAsia="宋体" w:cs="Times New Roman"/>
          <w:color w:val="auto"/>
          <w:szCs w:val="21"/>
        </w:rPr>
        <w:t>讨论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时</w:t>
      </w:r>
      <w:r>
        <w:rPr>
          <w:rFonts w:hint="eastAsia" w:ascii="宋体" w:hAnsi="宋体" w:eastAsia="宋体" w:cs="Times New Roman"/>
          <w:color w:val="auto"/>
          <w:szCs w:val="21"/>
          <w:lang w:eastAsia="zh-CN"/>
        </w:rPr>
        <w:t>，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结合实际工作经验建议修改第1章</w:t>
      </w:r>
      <w:r>
        <w:rPr>
          <w:rFonts w:hint="eastAsia" w:ascii="宋体" w:hAnsi="宋体" w:eastAsia="宋体" w:cs="Times New Roman"/>
          <w:color w:val="auto"/>
          <w:szCs w:val="21"/>
        </w:rPr>
        <w:t>。会后牵头单位组织对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该项标准</w:t>
      </w:r>
      <w:r>
        <w:rPr>
          <w:rFonts w:hint="eastAsia" w:ascii="宋体" w:hAnsi="宋体" w:eastAsia="宋体" w:cs="Times New Roman"/>
          <w:color w:val="auto"/>
          <w:szCs w:val="21"/>
        </w:rPr>
        <w:t>进行修改和完善，于2025.6.30形成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该项</w:t>
      </w:r>
      <w:r>
        <w:rPr>
          <w:rFonts w:hint="eastAsia" w:ascii="宋体" w:hAnsi="宋体" w:eastAsia="宋体" w:cs="Times New Roman"/>
          <w:color w:val="auto"/>
          <w:szCs w:val="21"/>
        </w:rPr>
        <w:t>标准第1号修改单及编制说明。</w:t>
      </w:r>
    </w:p>
    <w:p w14:paraId="350AA5C4">
      <w:pPr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1"/>
          <w:lang w:eastAsia="zh-CN"/>
        </w:rPr>
      </w:pPr>
      <w:r>
        <w:rPr>
          <w:rFonts w:hint="eastAsia" w:ascii="宋体" w:hAnsi="宋体" w:eastAsia="宋体" w:cs="Times New Roman"/>
          <w:color w:val="auto"/>
          <w:szCs w:val="21"/>
        </w:rPr>
        <w:t>征求意见阶段：经工作组组长张宇蝶审核，标委会同意后定于2025.7.2～2025.9.5为征求意见时间。2025.7.2向全体标委会委员和相关单位发出</w:t>
      </w: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该</w:t>
      </w:r>
      <w:r>
        <w:rPr>
          <w:rFonts w:hint="eastAsia" w:ascii="宋体" w:hAnsi="宋体" w:eastAsia="宋体" w:cs="Times New Roman"/>
          <w:color w:val="auto"/>
          <w:szCs w:val="21"/>
        </w:rPr>
        <w:t>标准“第1号修改单”及编制说明，并同期在网站(http://www.cavm.cn/电影电教标委会)上公布，广泛征求意见，征求意见截止日期为2025.9.5</w:t>
      </w:r>
      <w:r>
        <w:rPr>
          <w:rFonts w:hint="eastAsia" w:ascii="宋体" w:hAnsi="宋体" w:eastAsia="宋体" w:cs="Times New Roman"/>
          <w:color w:val="auto"/>
          <w:szCs w:val="21"/>
          <w:lang w:eastAsia="zh-CN"/>
        </w:rPr>
        <w:t>。</w:t>
      </w:r>
    </w:p>
    <w:p w14:paraId="47BD07E0">
      <w:pPr>
        <w:tabs>
          <w:tab w:val="left" w:pos="1446"/>
        </w:tabs>
        <w:spacing w:line="420" w:lineRule="exact"/>
        <w:rPr>
          <w:rFonts w:ascii="黑体" w:hAnsi="宋体" w:eastAsia="黑体" w:cs="Times New Roman"/>
          <w:szCs w:val="21"/>
        </w:rPr>
      </w:pPr>
      <w:r>
        <w:rPr>
          <w:rFonts w:hint="eastAsia" w:ascii="黑体" w:hAnsi="宋体" w:eastAsia="黑体" w:cs="Times New Roman"/>
          <w:szCs w:val="21"/>
        </w:rPr>
        <w:t>二、修改内容</w:t>
      </w:r>
    </w:p>
    <w:p w14:paraId="3DB96A66">
      <w:pPr>
        <w:tabs>
          <w:tab w:val="left" w:pos="1446"/>
        </w:tabs>
        <w:spacing w:line="420" w:lineRule="exact"/>
        <w:rPr>
          <w:rFonts w:hint="eastAsia" w:ascii="宋体" w:hAnsi="宋体" w:eastAsia="宋体" w:cs="Times New Roman"/>
          <w:color w:val="auto"/>
          <w:szCs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4"/>
        </w:rPr>
        <w:t>1</w:t>
      </w:r>
      <w:r>
        <w:rPr>
          <w:rFonts w:ascii="宋体" w:hAnsi="宋体" w:eastAsia="宋体" w:cs="Times New Roman"/>
          <w:color w:val="auto"/>
          <w:szCs w:val="24"/>
        </w:rPr>
        <w:t xml:space="preserve">. </w:t>
      </w:r>
      <w:r>
        <w:rPr>
          <w:rFonts w:hint="eastAsia" w:ascii="宋体" w:hAnsi="宋体" w:eastAsia="宋体" w:cs="Times New Roman"/>
          <w:color w:val="auto"/>
          <w:szCs w:val="24"/>
        </w:rPr>
        <w:t>由于</w:t>
      </w:r>
      <w:r>
        <w:rPr>
          <w:rFonts w:hint="eastAsia" w:ascii="宋体" w:hAnsi="宋体" w:eastAsia="宋体" w:cs="Times New Roman"/>
          <w:color w:val="auto"/>
          <w:szCs w:val="24"/>
          <w:lang w:eastAsia="zh-CN"/>
        </w:rPr>
        <w:t>“</w:t>
      </w:r>
      <w:r>
        <w:rPr>
          <w:rFonts w:hint="eastAsia" w:ascii="黑体" w:hAnsi="黑体" w:eastAsia="黑体" w:cs="黑体"/>
          <w:color w:val="auto"/>
          <w:szCs w:val="24"/>
          <w:lang w:val="en-US" w:eastAsia="zh-CN"/>
        </w:rPr>
        <w:t>1  范围</w:t>
      </w:r>
      <w:r>
        <w:rPr>
          <w:rFonts w:hint="eastAsia" w:ascii="宋体" w:hAnsi="宋体" w:eastAsia="宋体" w:cs="Times New Roman"/>
          <w:color w:val="auto"/>
          <w:szCs w:val="24"/>
          <w:lang w:eastAsia="zh-CN"/>
        </w:rPr>
        <w:t>”</w:t>
      </w:r>
      <w:r>
        <w:rPr>
          <w:rFonts w:hint="eastAsia" w:ascii="宋体" w:hAnsi="宋体" w:eastAsia="宋体" w:cs="Times New Roman"/>
          <w:color w:val="auto"/>
          <w:szCs w:val="24"/>
        </w:rPr>
        <w:t>不够</w:t>
      </w:r>
      <w:r>
        <w:rPr>
          <w:rFonts w:hint="eastAsia" w:ascii="宋体" w:hAnsi="宋体" w:eastAsia="宋体" w:cs="Times New Roman"/>
          <w:color w:val="auto"/>
          <w:szCs w:val="24"/>
          <w:lang w:val="en-US" w:eastAsia="zh-CN"/>
        </w:rPr>
        <w:t>明确和</w:t>
      </w:r>
      <w:r>
        <w:rPr>
          <w:rFonts w:hint="eastAsia" w:ascii="宋体" w:hAnsi="宋体" w:eastAsia="宋体" w:cs="Times New Roman"/>
          <w:color w:val="auto"/>
          <w:szCs w:val="24"/>
        </w:rPr>
        <w:t>完善，因此</w:t>
      </w:r>
      <w:r>
        <w:rPr>
          <w:rFonts w:hint="eastAsia" w:ascii="宋体" w:hAnsi="宋体" w:eastAsia="宋体" w:cs="Times New Roman"/>
          <w:color w:val="auto"/>
          <w:szCs w:val="24"/>
          <w:lang w:val="en-US" w:eastAsia="zh-CN"/>
        </w:rPr>
        <w:t>修改为：</w:t>
      </w:r>
    </w:p>
    <w:p w14:paraId="0563B713">
      <w:pPr>
        <w:tabs>
          <w:tab w:val="left" w:pos="1446"/>
        </w:tabs>
        <w:spacing w:line="420" w:lineRule="exact"/>
        <w:rPr>
          <w:rFonts w:hint="eastAsia" w:ascii="黑体" w:hAnsi="黑体" w:eastAsia="黑体" w:cs="黑体"/>
          <w:color w:val="auto"/>
          <w:szCs w:val="24"/>
          <w:lang w:val="en-US" w:eastAsia="zh-CN"/>
        </w:rPr>
      </w:pPr>
    </w:p>
    <w:p w14:paraId="3DD306E6">
      <w:pPr>
        <w:tabs>
          <w:tab w:val="left" w:pos="1446"/>
        </w:tabs>
        <w:spacing w:line="420" w:lineRule="exact"/>
        <w:rPr>
          <w:rFonts w:hint="default" w:ascii="宋体" w:hAnsi="宋体" w:eastAsia="宋体" w:cs="Times New Roman"/>
          <w:color w:val="auto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Cs w:val="24"/>
          <w:lang w:val="en-US" w:eastAsia="zh-CN"/>
        </w:rPr>
        <w:t>1  范围</w:t>
      </w:r>
    </w:p>
    <w:p w14:paraId="186D5C9B">
      <w:pPr>
        <w:tabs>
          <w:tab w:val="left" w:pos="1446"/>
        </w:tabs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4"/>
          <w:lang w:val="en-US" w:eastAsia="zh-CN"/>
        </w:rPr>
      </w:pPr>
    </w:p>
    <w:p w14:paraId="7AB8E489">
      <w:pPr>
        <w:tabs>
          <w:tab w:val="left" w:pos="1446"/>
        </w:tabs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4"/>
          <w:lang w:val="en-US" w:eastAsia="zh-CN"/>
        </w:rPr>
        <w:t>本文件规定了超短焦数字抗光幕的技术要求，描述了相应的试验方法，规定了检验规则、标志、包装、运输和贮存。</w:t>
      </w:r>
    </w:p>
    <w:p w14:paraId="11919115">
      <w:pPr>
        <w:tabs>
          <w:tab w:val="left" w:pos="1446"/>
        </w:tabs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4"/>
          <w:lang w:val="en-US" w:eastAsia="zh-CN"/>
        </w:rPr>
        <w:t>本文件适用于投射比在0.4以内、光栅结构的投影放映设备用抗光幕的制造。</w:t>
      </w:r>
    </w:p>
    <w:p w14:paraId="675CCD8C">
      <w:pPr>
        <w:tabs>
          <w:tab w:val="left" w:pos="1446"/>
        </w:tabs>
        <w:spacing w:line="420" w:lineRule="exact"/>
        <w:ind w:firstLine="420" w:firstLineChars="200"/>
        <w:rPr>
          <w:rFonts w:hint="eastAsia" w:ascii="宋体" w:hAnsi="宋体" w:eastAsia="宋体" w:cs="Times New Roman"/>
          <w:color w:val="auto"/>
          <w:szCs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4"/>
          <w:lang w:val="en-US" w:eastAsia="zh-CN"/>
        </w:rPr>
        <w:t>本文件不适用于其他光学结构的投影放映设备用抗光幕。</w:t>
      </w:r>
    </w:p>
    <w:p w14:paraId="7AA7E3DD">
      <w:pPr>
        <w:tabs>
          <w:tab w:val="left" w:pos="1446"/>
        </w:tabs>
        <w:spacing w:line="420" w:lineRule="exact"/>
        <w:rPr>
          <w:rFonts w:ascii="宋体" w:hAnsi="宋体" w:eastAsia="宋体" w:cs="Times New Roman"/>
          <w:szCs w:val="24"/>
        </w:rPr>
      </w:pPr>
    </w:p>
    <w:p w14:paraId="0075B5B9">
      <w:pPr>
        <w:ind w:left="-2" w:leftChars="-1"/>
        <w:rPr>
          <w:rFonts w:ascii="宋体" w:hAnsi="宋体" w:eastAsia="宋体" w:cs="Times New Roman"/>
          <w:sz w:val="18"/>
          <w:szCs w:val="18"/>
        </w:rPr>
      </w:pPr>
    </w:p>
    <w:p w14:paraId="45AF8672">
      <w:pPr>
        <w:jc w:val="center"/>
        <w:rPr>
          <w:color w:val="FF0000"/>
        </w:rPr>
      </w:pPr>
    </w:p>
    <w:sectPr>
      <w:pgSz w:w="11906" w:h="16838"/>
      <w:pgMar w:top="1418" w:right="1644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PS灵秀黑">
    <w:panose1 w:val="00000000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0FE"/>
    <w:rsid w:val="00555483"/>
    <w:rsid w:val="005A03FD"/>
    <w:rsid w:val="005F79D8"/>
    <w:rsid w:val="00611838"/>
    <w:rsid w:val="0064060F"/>
    <w:rsid w:val="00694679"/>
    <w:rsid w:val="006B32E5"/>
    <w:rsid w:val="008855C2"/>
    <w:rsid w:val="008A57E8"/>
    <w:rsid w:val="00936482"/>
    <w:rsid w:val="009B6165"/>
    <w:rsid w:val="009E57E9"/>
    <w:rsid w:val="00B859A9"/>
    <w:rsid w:val="00C3508A"/>
    <w:rsid w:val="00D23AB6"/>
    <w:rsid w:val="00D44871"/>
    <w:rsid w:val="00DB6B7E"/>
    <w:rsid w:val="00DF5E8E"/>
    <w:rsid w:val="00E43044"/>
    <w:rsid w:val="00E45F90"/>
    <w:rsid w:val="00E760FE"/>
    <w:rsid w:val="00F878F6"/>
    <w:rsid w:val="00FD2A6F"/>
    <w:rsid w:val="00FD705F"/>
    <w:rsid w:val="00FD74E9"/>
    <w:rsid w:val="26A81913"/>
    <w:rsid w:val="50167CCF"/>
    <w:rsid w:val="56253F38"/>
    <w:rsid w:val="68B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837</Words>
  <Characters>975</Characters>
  <Lines>10</Lines>
  <Paragraphs>2</Paragraphs>
  <TotalTime>9</TotalTime>
  <ScaleCrop>false</ScaleCrop>
  <LinksUpToDate>false</LinksUpToDate>
  <CharactersWithSpaces>1003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2020-08-10T06:09:00Z</dcterms:created>
  <dc:creator>Administrator</dc:creator>
  <cp:lastModifiedBy>邓荣武</cp:lastModifiedBy>
  <dcterms:modified xsi:type="dcterms:W3CDTF">2025-06-30T14:06:12Z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eyJoZGlkIjoiZDA3ZDQwMmNiOWFlYzZjYTcwOWJiZGQ0YTA5ODBmZGUiLCJ1c2VySWQiOiIxMTMyMTAyMzI5In0=</vt:lpwstr>
  </property>
  <property fmtid="{D5CDD505-2E9C-101B-9397-08002B2CF9AE}" pid="3" name="KSOProductBuildVer">
    <vt:lpwstr>2052-12.1.0.21541</vt:lpwstr>
  </property>
  <property fmtid="{D5CDD505-2E9C-101B-9397-08002B2CF9AE}" pid="4" name="ICV">
    <vt:lpwstr>4853CC9D99974200A884EC785AE7F467_12</vt:lpwstr>
  </property>
</Properties>
</file>